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04" w:rsidRDefault="005D6804" w:rsidP="00A46405">
      <w:pPr>
        <w:jc w:val="center"/>
        <w:rPr>
          <w:rFonts w:ascii="Arial" w:hAnsi="Arial" w:cs="Arial"/>
        </w:rPr>
      </w:pPr>
      <w:bookmarkStart w:id="0" w:name="_GoBack"/>
      <w:bookmarkEnd w:id="0"/>
    </w:p>
    <w:p w:rsidR="006C004A" w:rsidRPr="00901E0E" w:rsidRDefault="002A68A6" w:rsidP="00A46405">
      <w:pPr>
        <w:jc w:val="center"/>
        <w:rPr>
          <w:rFonts w:ascii="Arial" w:hAnsi="Arial" w:cs="Arial"/>
        </w:rPr>
      </w:pPr>
      <w:r>
        <w:rPr>
          <w:rFonts w:eastAsia="Malgun Gothic"/>
          <w:noProof/>
          <w:color w:val="1F497D"/>
          <w:sz w:val="52"/>
          <w:szCs w:val="52"/>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-290195</wp:posOffset>
            </wp:positionV>
            <wp:extent cx="2615565" cy="581660"/>
            <wp:effectExtent l="0" t="0" r="0" b="0"/>
            <wp:wrapThrough wrapText="bothSides">
              <wp:wrapPolygon edited="0">
                <wp:start x="0" y="0"/>
                <wp:lineTo x="0" y="21223"/>
                <wp:lineTo x="21395" y="21223"/>
                <wp:lineTo x="213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9">
                      <a:extLst>
                        <a:ext uri="{28A0092B-C50C-407E-A947-70E740481C1C}">
                          <a14:useLocalDpi xmlns:a14="http://schemas.microsoft.com/office/drawing/2010/main" val="0"/>
                        </a:ext>
                      </a:extLst>
                    </a:blip>
                    <a:stretch>
                      <a:fillRect/>
                    </a:stretch>
                  </pic:blipFill>
                  <pic:spPr>
                    <a:xfrm>
                      <a:off x="0" y="0"/>
                      <a:ext cx="2615565" cy="581660"/>
                    </a:xfrm>
                    <a:prstGeom prst="rect">
                      <a:avLst/>
                    </a:prstGeom>
                  </pic:spPr>
                </pic:pic>
              </a:graphicData>
            </a:graphic>
            <wp14:sizeRelH relativeFrom="page">
              <wp14:pctWidth>0</wp14:pctWidth>
            </wp14:sizeRelH>
            <wp14:sizeRelV relativeFrom="page">
              <wp14:pctHeight>0</wp14:pctHeight>
            </wp14:sizeRelV>
          </wp:anchor>
        </w:drawing>
      </w: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901E0E" w:rsidRDefault="002A68A6" w:rsidP="00337CA1">
      <w:pPr>
        <w:autoSpaceDE w:val="0"/>
        <w:autoSpaceDN w:val="0"/>
        <w:adjustRightInd w:val="0"/>
        <w:spacing w:after="0" w:line="240" w:lineRule="auto"/>
        <w:jc w:val="center"/>
        <w:rPr>
          <w:rFonts w:ascii="Arial" w:hAnsi="Arial" w:cs="Arial"/>
          <w:b/>
          <w:bCs/>
          <w:sz w:val="30"/>
          <w:szCs w:val="30"/>
        </w:rPr>
      </w:pPr>
      <w:r>
        <w:rPr>
          <w:rFonts w:eastAsia="Malgun Gothic"/>
          <w:noProof/>
          <w:color w:val="00B050"/>
          <w:sz w:val="52"/>
          <w:szCs w:val="52"/>
        </w:rPr>
        <w:drawing>
          <wp:inline distT="0" distB="0" distL="0" distR="0" wp14:anchorId="1B867DD7" wp14:editId="11966C30">
            <wp:extent cx="4648200" cy="9423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0">
                      <a:extLst>
                        <a:ext uri="{28A0092B-C50C-407E-A947-70E740481C1C}">
                          <a14:useLocalDpi xmlns:a14="http://schemas.microsoft.com/office/drawing/2010/main" val="0"/>
                        </a:ext>
                      </a:extLst>
                    </a:blip>
                    <a:stretch>
                      <a:fillRect/>
                    </a:stretch>
                  </pic:blipFill>
                  <pic:spPr>
                    <a:xfrm>
                      <a:off x="0" y="0"/>
                      <a:ext cx="4647684" cy="942202"/>
                    </a:xfrm>
                    <a:prstGeom prst="rect">
                      <a:avLst/>
                    </a:prstGeom>
                  </pic:spPr>
                </pic:pic>
              </a:graphicData>
            </a:graphic>
          </wp:inline>
        </w:drawing>
      </w:r>
    </w:p>
    <w:p w:rsidR="00901E0E" w:rsidRDefault="00901E0E" w:rsidP="005323B5">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A46405" w:rsidRPr="007A4F07" w:rsidRDefault="00A46405" w:rsidP="005323B5">
      <w:pPr>
        <w:autoSpaceDE w:val="0"/>
        <w:autoSpaceDN w:val="0"/>
        <w:adjustRightInd w:val="0"/>
        <w:spacing w:after="0" w:line="240" w:lineRule="auto"/>
        <w:jc w:val="center"/>
        <w:rPr>
          <w:rFonts w:ascii="Arial" w:hAnsi="Arial" w:cs="Arial"/>
          <w:b/>
          <w:bCs/>
          <w:color w:val="595959" w:themeColor="text1" w:themeTint="A6"/>
          <w:sz w:val="40"/>
          <w:szCs w:val="40"/>
        </w:rPr>
      </w:pPr>
      <w:r w:rsidRPr="007A4F07">
        <w:rPr>
          <w:rFonts w:ascii="Arial" w:hAnsi="Arial" w:cs="Arial"/>
          <w:b/>
          <w:bCs/>
          <w:color w:val="595959" w:themeColor="text1" w:themeTint="A6"/>
          <w:sz w:val="40"/>
          <w:szCs w:val="40"/>
        </w:rPr>
        <w:t xml:space="preserve">Invitation to </w:t>
      </w:r>
      <w:r w:rsidR="00F36EEC" w:rsidRPr="007A4F07">
        <w:rPr>
          <w:rFonts w:ascii="Arial" w:hAnsi="Arial" w:cs="Arial"/>
          <w:b/>
          <w:bCs/>
          <w:color w:val="595959" w:themeColor="text1" w:themeTint="A6"/>
          <w:sz w:val="40"/>
          <w:szCs w:val="40"/>
        </w:rPr>
        <w:t>Quote</w:t>
      </w:r>
      <w:r w:rsidRPr="007A4F07">
        <w:rPr>
          <w:rFonts w:ascii="Arial" w:hAnsi="Arial" w:cs="Arial"/>
          <w:b/>
          <w:bCs/>
          <w:color w:val="595959" w:themeColor="text1" w:themeTint="A6"/>
          <w:sz w:val="40"/>
          <w:szCs w:val="40"/>
        </w:rPr>
        <w:t xml:space="preserve"> </w:t>
      </w:r>
    </w:p>
    <w:p w:rsidR="005323B5" w:rsidRPr="007A4F07" w:rsidRDefault="00485C2F" w:rsidP="005323B5">
      <w:pPr>
        <w:autoSpaceDE w:val="0"/>
        <w:autoSpaceDN w:val="0"/>
        <w:adjustRightInd w:val="0"/>
        <w:spacing w:after="0" w:line="240" w:lineRule="auto"/>
        <w:jc w:val="center"/>
        <w:rPr>
          <w:rFonts w:ascii="Arial" w:hAnsi="Arial" w:cs="Arial"/>
          <w:b/>
          <w:bCs/>
          <w:color w:val="595959" w:themeColor="text1" w:themeTint="A6"/>
          <w:sz w:val="40"/>
          <w:szCs w:val="40"/>
        </w:rPr>
      </w:pPr>
      <w:r w:rsidRPr="00485C2F">
        <w:rPr>
          <w:rFonts w:ascii="Arial" w:hAnsi="Arial" w:cs="Arial"/>
          <w:b/>
          <w:bCs/>
          <w:color w:val="595959" w:themeColor="text1" w:themeTint="A6"/>
          <w:sz w:val="40"/>
          <w:szCs w:val="40"/>
        </w:rPr>
        <w:t>Requirements and Notes</w:t>
      </w:r>
    </w:p>
    <w:p w:rsidR="005323B5" w:rsidRPr="007A4F07" w:rsidRDefault="005323B5" w:rsidP="005323B5">
      <w:pPr>
        <w:autoSpaceDE w:val="0"/>
        <w:autoSpaceDN w:val="0"/>
        <w:adjustRightInd w:val="0"/>
        <w:spacing w:after="0" w:line="240" w:lineRule="auto"/>
        <w:jc w:val="center"/>
        <w:rPr>
          <w:rFonts w:ascii="Arial" w:hAnsi="Arial" w:cs="Arial"/>
          <w:b/>
          <w:bCs/>
          <w:color w:val="595959" w:themeColor="text1" w:themeTint="A6"/>
          <w:sz w:val="40"/>
          <w:szCs w:val="40"/>
        </w:rPr>
      </w:pPr>
    </w:p>
    <w:p w:rsidR="005323B5" w:rsidRPr="007A4F07" w:rsidRDefault="00ED31E7" w:rsidP="0002222C">
      <w:pPr>
        <w:jc w:val="center"/>
        <w:rPr>
          <w:rFonts w:ascii="Arial" w:hAnsi="Arial" w:cs="Arial"/>
          <w:b/>
          <w:color w:val="595959" w:themeColor="text1" w:themeTint="A6"/>
          <w:sz w:val="32"/>
          <w:szCs w:val="32"/>
        </w:rPr>
      </w:pPr>
      <w:r>
        <w:rPr>
          <w:rFonts w:ascii="Arial" w:hAnsi="Arial" w:cs="Arial"/>
          <w:b/>
          <w:color w:val="595959" w:themeColor="text1" w:themeTint="A6"/>
          <w:sz w:val="32"/>
          <w:szCs w:val="32"/>
        </w:rPr>
        <w:t>Recipe for Success programme</w:t>
      </w:r>
    </w:p>
    <w:p w:rsidR="005323B5" w:rsidRPr="007A4F07" w:rsidRDefault="00ED31E7"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Starting January 2018</w:t>
      </w:r>
    </w:p>
    <w:p w:rsidR="0095272D" w:rsidRPr="0002222C" w:rsidRDefault="0095272D" w:rsidP="00A46405">
      <w:pPr>
        <w:jc w:val="center"/>
        <w:rPr>
          <w:rFonts w:ascii="Arial" w:hAnsi="Arial" w:cs="Arial"/>
          <w:b/>
          <w:bCs/>
          <w:sz w:val="30"/>
          <w:szCs w:val="30"/>
        </w:rPr>
      </w:pPr>
    </w:p>
    <w:p w:rsidR="00CE74DF" w:rsidRPr="0002222C" w:rsidRDefault="00CE74DF" w:rsidP="00CE74DF">
      <w:pPr>
        <w:rPr>
          <w:rFonts w:ascii="Arial" w:hAnsi="Arial" w:cs="Arial"/>
          <w:b/>
          <w:bCs/>
        </w:rPr>
      </w:pPr>
      <w:r w:rsidRPr="0002222C">
        <w:rPr>
          <w:rFonts w:ascii="Arial" w:hAnsi="Arial" w:cs="Arial"/>
          <w:b/>
          <w:bCs/>
        </w:rPr>
        <w:t>Contents:</w:t>
      </w:r>
    </w:p>
    <w:tbl>
      <w:tblPr>
        <w:tblStyle w:val="TableGrid"/>
        <w:tblW w:w="0" w:type="auto"/>
        <w:tblLook w:val="04A0" w:firstRow="1" w:lastRow="0" w:firstColumn="1" w:lastColumn="0" w:noHBand="0" w:noVBand="1"/>
      </w:tblPr>
      <w:tblGrid>
        <w:gridCol w:w="4621"/>
        <w:gridCol w:w="4418"/>
      </w:tblGrid>
      <w:tr w:rsidR="00CE74DF" w:rsidRPr="0002222C" w:rsidTr="00B33F1A">
        <w:tc>
          <w:tcPr>
            <w:tcW w:w="4621" w:type="dxa"/>
          </w:tcPr>
          <w:p w:rsidR="00CE74DF" w:rsidRPr="0002222C" w:rsidRDefault="00CE74DF" w:rsidP="00CE74DF">
            <w:pPr>
              <w:rPr>
                <w:rFonts w:ascii="Arial" w:hAnsi="Arial" w:cs="Arial"/>
                <w:b/>
                <w:bCs/>
              </w:rPr>
            </w:pPr>
            <w:r w:rsidRPr="0002222C">
              <w:rPr>
                <w:rFonts w:ascii="Arial" w:hAnsi="Arial" w:cs="Arial"/>
                <w:b/>
                <w:bCs/>
              </w:rPr>
              <w:t>Subject</w:t>
            </w:r>
          </w:p>
        </w:tc>
        <w:tc>
          <w:tcPr>
            <w:tcW w:w="4418" w:type="dxa"/>
          </w:tcPr>
          <w:p w:rsidR="00CE74DF" w:rsidRPr="0002222C" w:rsidRDefault="00CE74DF" w:rsidP="00CE74DF">
            <w:pPr>
              <w:rPr>
                <w:rFonts w:ascii="Arial" w:hAnsi="Arial" w:cs="Arial"/>
                <w:b/>
                <w:bCs/>
              </w:rPr>
            </w:pPr>
            <w:r w:rsidRPr="0002222C">
              <w:rPr>
                <w:rFonts w:ascii="Arial" w:hAnsi="Arial" w:cs="Arial"/>
                <w:b/>
                <w:bCs/>
              </w:rPr>
              <w:t>Page</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Introduction</w:t>
            </w:r>
          </w:p>
        </w:tc>
        <w:tc>
          <w:tcPr>
            <w:tcW w:w="4418" w:type="dxa"/>
          </w:tcPr>
          <w:p w:rsidR="00CE74DF" w:rsidRPr="0002222C" w:rsidRDefault="002512EF" w:rsidP="00CE74DF">
            <w:pPr>
              <w:rPr>
                <w:rFonts w:ascii="Arial" w:hAnsi="Arial" w:cs="Arial"/>
                <w:bCs/>
              </w:rPr>
            </w:pPr>
            <w:r w:rsidRPr="0002222C">
              <w:rPr>
                <w:rFonts w:ascii="Arial" w:hAnsi="Arial" w:cs="Arial"/>
                <w:bCs/>
              </w:rPr>
              <w:t>2</w:t>
            </w:r>
          </w:p>
        </w:tc>
      </w:tr>
      <w:tr w:rsidR="00CE74DF" w:rsidRPr="0002222C" w:rsidTr="00B33F1A">
        <w:tc>
          <w:tcPr>
            <w:tcW w:w="4621" w:type="dxa"/>
          </w:tcPr>
          <w:p w:rsidR="00CE74DF" w:rsidRPr="0002222C" w:rsidRDefault="00CE74DF" w:rsidP="003E665C">
            <w:pPr>
              <w:rPr>
                <w:rFonts w:ascii="Arial" w:hAnsi="Arial" w:cs="Arial"/>
                <w:bCs/>
              </w:rPr>
            </w:pPr>
            <w:r w:rsidRPr="0002222C">
              <w:rPr>
                <w:rFonts w:ascii="Arial" w:hAnsi="Arial" w:cs="Arial"/>
                <w:bCs/>
              </w:rPr>
              <w:t>About</w:t>
            </w:r>
            <w:r w:rsidR="003E665C">
              <w:rPr>
                <w:rFonts w:ascii="Arial" w:hAnsi="Arial" w:cs="Arial"/>
                <w:bCs/>
              </w:rPr>
              <w:t xml:space="preserve"> the </w:t>
            </w:r>
            <w:r w:rsidR="003E665C" w:rsidRPr="00ED31E7">
              <w:rPr>
                <w:rFonts w:ascii="Arial" w:hAnsi="Arial" w:cs="Arial"/>
                <w:bCs/>
              </w:rPr>
              <w:t>Business Growth Hub</w:t>
            </w:r>
            <w:r w:rsidR="003E665C">
              <w:rPr>
                <w:rFonts w:ascii="Arial" w:hAnsi="Arial" w:cs="Arial"/>
                <w:bCs/>
              </w:rPr>
              <w:t xml:space="preserve"> </w:t>
            </w:r>
          </w:p>
        </w:tc>
        <w:tc>
          <w:tcPr>
            <w:tcW w:w="4418" w:type="dxa"/>
          </w:tcPr>
          <w:p w:rsidR="00CE74DF" w:rsidRPr="0002222C" w:rsidRDefault="002512EF" w:rsidP="00CE74DF">
            <w:pPr>
              <w:rPr>
                <w:rFonts w:ascii="Arial" w:hAnsi="Arial" w:cs="Arial"/>
                <w:bCs/>
              </w:rPr>
            </w:pPr>
            <w:r w:rsidRPr="0002222C">
              <w:rPr>
                <w:rFonts w:ascii="Arial" w:hAnsi="Arial" w:cs="Arial"/>
                <w:bCs/>
              </w:rPr>
              <w:t>2</w:t>
            </w:r>
          </w:p>
        </w:tc>
      </w:tr>
      <w:tr w:rsidR="0002222C" w:rsidRPr="0002222C" w:rsidTr="00B33F1A">
        <w:tc>
          <w:tcPr>
            <w:tcW w:w="4621" w:type="dxa"/>
          </w:tcPr>
          <w:p w:rsidR="0002222C" w:rsidRPr="0002222C" w:rsidRDefault="00ED31E7" w:rsidP="003E665C">
            <w:pPr>
              <w:rPr>
                <w:rFonts w:ascii="Arial" w:hAnsi="Arial" w:cs="Arial"/>
              </w:rPr>
            </w:pPr>
            <w:r>
              <w:rPr>
                <w:rFonts w:ascii="Arial" w:hAnsi="Arial" w:cs="Arial"/>
              </w:rPr>
              <w:t>Growth Services – Growth Team</w:t>
            </w:r>
          </w:p>
        </w:tc>
        <w:tc>
          <w:tcPr>
            <w:tcW w:w="4418" w:type="dxa"/>
          </w:tcPr>
          <w:p w:rsidR="0002222C" w:rsidRPr="0002222C" w:rsidRDefault="00A30F3F" w:rsidP="00CE74DF">
            <w:pPr>
              <w:rPr>
                <w:rFonts w:ascii="Arial" w:hAnsi="Arial" w:cs="Arial"/>
                <w:bCs/>
              </w:rPr>
            </w:pPr>
            <w:r>
              <w:rPr>
                <w:rFonts w:ascii="Arial" w:hAnsi="Arial" w:cs="Arial"/>
                <w:bCs/>
              </w:rPr>
              <w:t>3</w:t>
            </w:r>
          </w:p>
        </w:tc>
      </w:tr>
      <w:tr w:rsidR="00CE74DF" w:rsidRPr="0002222C" w:rsidTr="00B33F1A">
        <w:tc>
          <w:tcPr>
            <w:tcW w:w="4621" w:type="dxa"/>
          </w:tcPr>
          <w:p w:rsidR="00CE74DF" w:rsidRPr="0002222C" w:rsidRDefault="0002222C" w:rsidP="00CE74DF">
            <w:pPr>
              <w:rPr>
                <w:rFonts w:ascii="Arial" w:hAnsi="Arial" w:cs="Arial"/>
                <w:bCs/>
              </w:rPr>
            </w:pPr>
            <w:r>
              <w:rPr>
                <w:rFonts w:ascii="Arial" w:hAnsi="Arial" w:cs="Arial"/>
                <w:bCs/>
              </w:rPr>
              <w:t>Requirement</w:t>
            </w:r>
          </w:p>
        </w:tc>
        <w:tc>
          <w:tcPr>
            <w:tcW w:w="4418" w:type="dxa"/>
          </w:tcPr>
          <w:p w:rsidR="00CE74DF" w:rsidRPr="0002222C" w:rsidRDefault="002512EF" w:rsidP="00CE74DF">
            <w:pPr>
              <w:rPr>
                <w:rFonts w:ascii="Arial" w:hAnsi="Arial" w:cs="Arial"/>
                <w:bCs/>
              </w:rPr>
            </w:pPr>
            <w:r w:rsidRPr="0002222C">
              <w:rPr>
                <w:rFonts w:ascii="Arial" w:hAnsi="Arial" w:cs="Arial"/>
                <w:bCs/>
              </w:rPr>
              <w:t>3</w:t>
            </w:r>
          </w:p>
        </w:tc>
      </w:tr>
      <w:tr w:rsidR="00930F51" w:rsidRPr="0002222C" w:rsidTr="00B33F1A">
        <w:tc>
          <w:tcPr>
            <w:tcW w:w="4621" w:type="dxa"/>
          </w:tcPr>
          <w:p w:rsidR="00930F51" w:rsidRPr="0002222C" w:rsidRDefault="00930F51" w:rsidP="00CE74DF">
            <w:pPr>
              <w:rPr>
                <w:rFonts w:ascii="Arial" w:hAnsi="Arial" w:cs="Arial"/>
                <w:bCs/>
              </w:rPr>
            </w:pPr>
            <w:r>
              <w:rPr>
                <w:rFonts w:ascii="Arial" w:hAnsi="Arial" w:cs="Arial"/>
                <w:bCs/>
              </w:rPr>
              <w:t>Scope</w:t>
            </w:r>
          </w:p>
        </w:tc>
        <w:tc>
          <w:tcPr>
            <w:tcW w:w="4418" w:type="dxa"/>
          </w:tcPr>
          <w:p w:rsidR="00930F51" w:rsidRDefault="00930F51" w:rsidP="00CE74DF">
            <w:pPr>
              <w:rPr>
                <w:rFonts w:ascii="Arial" w:hAnsi="Arial" w:cs="Arial"/>
                <w:bCs/>
              </w:rPr>
            </w:pPr>
            <w:r>
              <w:rPr>
                <w:rFonts w:ascii="Arial" w:hAnsi="Arial" w:cs="Arial"/>
                <w:bCs/>
              </w:rPr>
              <w:t>3</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Brief</w:t>
            </w:r>
          </w:p>
        </w:tc>
        <w:tc>
          <w:tcPr>
            <w:tcW w:w="4418" w:type="dxa"/>
          </w:tcPr>
          <w:p w:rsidR="00CE74DF" w:rsidRPr="0002222C" w:rsidRDefault="0002222C" w:rsidP="00CE74DF">
            <w:pPr>
              <w:rPr>
                <w:rFonts w:ascii="Arial" w:hAnsi="Arial" w:cs="Arial"/>
                <w:bCs/>
              </w:rPr>
            </w:pPr>
            <w:r>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Application</w:t>
            </w:r>
          </w:p>
        </w:tc>
        <w:tc>
          <w:tcPr>
            <w:tcW w:w="4418" w:type="dxa"/>
          </w:tcPr>
          <w:p w:rsidR="00CE74DF" w:rsidRPr="0002222C" w:rsidRDefault="002512EF" w:rsidP="00CE74DF">
            <w:pPr>
              <w:rPr>
                <w:rFonts w:ascii="Arial" w:hAnsi="Arial" w:cs="Arial"/>
                <w:bCs/>
              </w:rPr>
            </w:pPr>
            <w:r w:rsidRPr="0002222C">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Evaluation</w:t>
            </w:r>
          </w:p>
        </w:tc>
        <w:tc>
          <w:tcPr>
            <w:tcW w:w="4418" w:type="dxa"/>
          </w:tcPr>
          <w:p w:rsidR="00CE74DF" w:rsidRPr="0002222C" w:rsidRDefault="002512EF" w:rsidP="00CE74DF">
            <w:pPr>
              <w:rPr>
                <w:rFonts w:ascii="Arial" w:hAnsi="Arial" w:cs="Arial"/>
                <w:bCs/>
              </w:rPr>
            </w:pPr>
            <w:r w:rsidRPr="0002222C">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Quotation submission requirements</w:t>
            </w:r>
          </w:p>
        </w:tc>
        <w:tc>
          <w:tcPr>
            <w:tcW w:w="4418" w:type="dxa"/>
          </w:tcPr>
          <w:p w:rsidR="00CE74DF" w:rsidRPr="0002222C" w:rsidRDefault="0002222C" w:rsidP="00CE74DF">
            <w:pPr>
              <w:rPr>
                <w:rFonts w:ascii="Arial" w:hAnsi="Arial" w:cs="Arial"/>
                <w:bCs/>
              </w:rPr>
            </w:pPr>
            <w:r>
              <w:rPr>
                <w:rFonts w:ascii="Arial" w:hAnsi="Arial" w:cs="Arial"/>
                <w:bCs/>
              </w:rPr>
              <w:t>5</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Timescales</w:t>
            </w:r>
          </w:p>
        </w:tc>
        <w:tc>
          <w:tcPr>
            <w:tcW w:w="4418" w:type="dxa"/>
          </w:tcPr>
          <w:p w:rsidR="00CE74DF" w:rsidRPr="0002222C" w:rsidRDefault="0002222C" w:rsidP="00CE74DF">
            <w:pPr>
              <w:rPr>
                <w:rFonts w:ascii="Arial" w:hAnsi="Arial" w:cs="Arial"/>
                <w:bCs/>
              </w:rPr>
            </w:pPr>
            <w:r>
              <w:rPr>
                <w:rFonts w:ascii="Arial" w:hAnsi="Arial" w:cs="Arial"/>
                <w:bCs/>
              </w:rPr>
              <w:t>5</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Quotation Form</w:t>
            </w:r>
          </w:p>
        </w:tc>
        <w:tc>
          <w:tcPr>
            <w:tcW w:w="4418" w:type="dxa"/>
          </w:tcPr>
          <w:p w:rsidR="00CE74DF" w:rsidRPr="0002222C" w:rsidRDefault="00CE74DF" w:rsidP="00CE74DF">
            <w:pPr>
              <w:rPr>
                <w:rFonts w:ascii="Arial" w:hAnsi="Arial" w:cs="Arial"/>
                <w:bCs/>
              </w:rPr>
            </w:pPr>
            <w:r w:rsidRPr="0002222C">
              <w:rPr>
                <w:rFonts w:ascii="Arial" w:hAnsi="Arial" w:cs="Arial"/>
                <w:bCs/>
              </w:rPr>
              <w:t>An appendix to this document</w:t>
            </w:r>
          </w:p>
        </w:tc>
      </w:tr>
      <w:tr w:rsidR="00CE74DF" w:rsidRPr="0002222C" w:rsidTr="00B33F1A">
        <w:tc>
          <w:tcPr>
            <w:tcW w:w="4621" w:type="dxa"/>
          </w:tcPr>
          <w:p w:rsidR="00CE74DF" w:rsidRPr="0002222C" w:rsidRDefault="00A30F3F" w:rsidP="00CE74DF">
            <w:pPr>
              <w:rPr>
                <w:rFonts w:ascii="Arial" w:hAnsi="Arial" w:cs="Arial"/>
                <w:bCs/>
              </w:rPr>
            </w:pPr>
            <w:r>
              <w:rPr>
                <w:rFonts w:ascii="Arial" w:hAnsi="Arial" w:cs="Arial"/>
                <w:bCs/>
              </w:rPr>
              <w:t>GMBS Contract</w:t>
            </w:r>
            <w:r w:rsidR="00CE74DF" w:rsidRPr="0002222C">
              <w:rPr>
                <w:rFonts w:ascii="Arial" w:hAnsi="Arial" w:cs="Arial"/>
                <w:bCs/>
              </w:rPr>
              <w:t xml:space="preserve"> Conditions</w:t>
            </w:r>
          </w:p>
        </w:tc>
        <w:tc>
          <w:tcPr>
            <w:tcW w:w="4418" w:type="dxa"/>
          </w:tcPr>
          <w:p w:rsidR="00CE74DF" w:rsidRPr="0002222C" w:rsidRDefault="00CE74DF" w:rsidP="00CE74DF">
            <w:pPr>
              <w:rPr>
                <w:rFonts w:ascii="Arial" w:hAnsi="Arial" w:cs="Arial"/>
                <w:bCs/>
              </w:rPr>
            </w:pPr>
            <w:r w:rsidRPr="0002222C">
              <w:rPr>
                <w:rFonts w:ascii="Arial" w:hAnsi="Arial" w:cs="Arial"/>
                <w:bCs/>
              </w:rPr>
              <w:t>An appendix to this document</w:t>
            </w:r>
          </w:p>
        </w:tc>
      </w:tr>
    </w:tbl>
    <w:p w:rsidR="00A46405" w:rsidRPr="0002222C" w:rsidRDefault="00A46405">
      <w:pPr>
        <w:rPr>
          <w:rFonts w:ascii="Arial" w:hAnsi="Arial" w:cs="Arial"/>
          <w:b/>
          <w:bCs/>
          <w:sz w:val="30"/>
          <w:szCs w:val="30"/>
        </w:rPr>
      </w:pPr>
      <w:r w:rsidRPr="0002222C">
        <w:rPr>
          <w:rFonts w:ascii="Arial" w:hAnsi="Arial" w:cs="Arial"/>
          <w:b/>
          <w:bCs/>
          <w:sz w:val="30"/>
          <w:szCs w:val="30"/>
        </w:rPr>
        <w:br w:type="page"/>
      </w:r>
    </w:p>
    <w:p w:rsidR="00A46405" w:rsidRPr="0002222C" w:rsidRDefault="00A46405" w:rsidP="00C71BBE">
      <w:pPr>
        <w:pBdr>
          <w:bottom w:val="single" w:sz="4" w:space="1" w:color="auto"/>
        </w:pBdr>
        <w:autoSpaceDE w:val="0"/>
        <w:autoSpaceDN w:val="0"/>
        <w:adjustRightInd w:val="0"/>
        <w:spacing w:after="0" w:line="360" w:lineRule="auto"/>
        <w:jc w:val="both"/>
        <w:rPr>
          <w:rFonts w:ascii="Arial" w:hAnsi="Arial" w:cs="Arial"/>
          <w:b/>
          <w:bCs/>
        </w:rPr>
      </w:pPr>
      <w:r w:rsidRPr="0002222C">
        <w:rPr>
          <w:rFonts w:ascii="Arial" w:hAnsi="Arial" w:cs="Arial"/>
          <w:b/>
          <w:bCs/>
        </w:rPr>
        <w:lastRenderedPageBreak/>
        <w:t>Introduction</w:t>
      </w:r>
    </w:p>
    <w:p w:rsidR="00337CA1" w:rsidRPr="00ED31E7" w:rsidRDefault="00337CA1" w:rsidP="00C71BBE">
      <w:pPr>
        <w:spacing w:after="0" w:line="360" w:lineRule="auto"/>
        <w:rPr>
          <w:rFonts w:ascii="Arial" w:hAnsi="Arial" w:cs="Arial"/>
          <w:b/>
        </w:rPr>
      </w:pPr>
      <w:r w:rsidRPr="00CC59D2">
        <w:rPr>
          <w:rFonts w:ascii="Arial" w:hAnsi="Arial" w:cs="Arial"/>
        </w:rPr>
        <w:t xml:space="preserve">The aim of this </w:t>
      </w:r>
      <w:r w:rsidR="00C135B5" w:rsidRPr="00CC59D2">
        <w:rPr>
          <w:rFonts w:ascii="Arial" w:hAnsi="Arial" w:cs="Arial"/>
        </w:rPr>
        <w:t xml:space="preserve">document </w:t>
      </w:r>
      <w:r w:rsidRPr="00CC59D2">
        <w:rPr>
          <w:rFonts w:ascii="Arial" w:hAnsi="Arial" w:cs="Arial"/>
        </w:rPr>
        <w:t xml:space="preserve">is to select and appoint a </w:t>
      </w:r>
      <w:r w:rsidR="00802844">
        <w:rPr>
          <w:rFonts w:ascii="Arial" w:hAnsi="Arial" w:cs="Arial"/>
        </w:rPr>
        <w:t>provider</w:t>
      </w:r>
      <w:r w:rsidR="0062163C" w:rsidRPr="00CC59D2">
        <w:rPr>
          <w:rFonts w:ascii="Arial" w:hAnsi="Arial" w:cs="Arial"/>
        </w:rPr>
        <w:t xml:space="preserve"> </w:t>
      </w:r>
      <w:r w:rsidR="00802844">
        <w:rPr>
          <w:rFonts w:ascii="Arial" w:hAnsi="Arial" w:cs="Arial"/>
        </w:rPr>
        <w:t xml:space="preserve">for the following activity/service: </w:t>
      </w:r>
      <w:r w:rsidR="00ED31E7" w:rsidRPr="00ED31E7">
        <w:rPr>
          <w:rFonts w:ascii="Arial" w:hAnsi="Arial" w:cs="Arial"/>
          <w:b/>
        </w:rPr>
        <w:t>Recipe for Success programme – workshop</w:t>
      </w:r>
      <w:r w:rsidR="00885BA7">
        <w:rPr>
          <w:rFonts w:ascii="Arial" w:hAnsi="Arial" w:cs="Arial"/>
          <w:b/>
        </w:rPr>
        <w:t xml:space="preserve"> 5</w:t>
      </w:r>
      <w:r w:rsidR="00ED31E7" w:rsidRPr="00ED31E7">
        <w:rPr>
          <w:rFonts w:ascii="Arial" w:hAnsi="Arial" w:cs="Arial"/>
          <w:b/>
        </w:rPr>
        <w:t xml:space="preserve"> </w:t>
      </w:r>
      <w:r w:rsidR="00EA4C5E">
        <w:rPr>
          <w:rFonts w:ascii="Arial" w:hAnsi="Arial" w:cs="Arial"/>
          <w:b/>
        </w:rPr>
        <w:t>(</w:t>
      </w:r>
      <w:r w:rsidR="00EA4C5E" w:rsidRPr="00EA4C5E">
        <w:rPr>
          <w:rFonts w:ascii="Arial" w:hAnsi="Arial" w:cs="Arial"/>
          <w:b/>
        </w:rPr>
        <w:t>Understanding food retailers</w:t>
      </w:r>
      <w:r w:rsidR="00EA4C5E">
        <w:rPr>
          <w:rFonts w:ascii="Arial" w:hAnsi="Arial" w:cs="Arial"/>
          <w:b/>
        </w:rPr>
        <w:t>)</w:t>
      </w:r>
      <w:r w:rsidR="00EA4C5E" w:rsidRPr="00ED31E7">
        <w:rPr>
          <w:rFonts w:ascii="Arial" w:hAnsi="Arial" w:cs="Arial"/>
          <w:b/>
        </w:rPr>
        <w:t xml:space="preserve"> </w:t>
      </w:r>
      <w:r w:rsidR="00885BA7">
        <w:rPr>
          <w:rFonts w:ascii="Arial" w:hAnsi="Arial" w:cs="Arial"/>
          <w:b/>
        </w:rPr>
        <w:t>and Workshop 6</w:t>
      </w:r>
      <w:r w:rsidR="00EA4C5E">
        <w:rPr>
          <w:rFonts w:ascii="Arial" w:hAnsi="Arial" w:cs="Arial"/>
          <w:b/>
        </w:rPr>
        <w:t xml:space="preserve"> (</w:t>
      </w:r>
      <w:r w:rsidR="00ED31E7" w:rsidRPr="00ED31E7">
        <w:rPr>
          <w:rFonts w:ascii="Arial" w:hAnsi="Arial" w:cs="Arial"/>
          <w:b/>
        </w:rPr>
        <w:t>Pitching session</w:t>
      </w:r>
      <w:r w:rsidR="00EA4C5E">
        <w:rPr>
          <w:rFonts w:ascii="Arial" w:hAnsi="Arial" w:cs="Arial"/>
          <w:b/>
        </w:rPr>
        <w:t>)</w:t>
      </w:r>
    </w:p>
    <w:p w:rsidR="003E665C" w:rsidRPr="0002222C" w:rsidRDefault="003E665C" w:rsidP="00C71BBE">
      <w:pPr>
        <w:spacing w:after="0" w:line="360" w:lineRule="auto"/>
        <w:rPr>
          <w:rFonts w:ascii="Arial" w:hAnsi="Arial" w:cs="Arial"/>
          <w:bCs/>
          <w:i/>
        </w:rPr>
      </w:pPr>
    </w:p>
    <w:p w:rsidR="00A46405" w:rsidRPr="0002222C" w:rsidRDefault="00BE4367" w:rsidP="00C71BBE">
      <w:pPr>
        <w:autoSpaceDE w:val="0"/>
        <w:autoSpaceDN w:val="0"/>
        <w:adjustRightInd w:val="0"/>
        <w:spacing w:after="0" w:line="360" w:lineRule="auto"/>
        <w:jc w:val="both"/>
        <w:rPr>
          <w:rFonts w:ascii="Arial" w:hAnsi="Arial" w:cs="Arial"/>
        </w:rPr>
      </w:pPr>
      <w:r w:rsidRPr="0002222C">
        <w:rPr>
          <w:rFonts w:ascii="Arial" w:hAnsi="Arial" w:cs="Arial"/>
        </w:rPr>
        <w:t xml:space="preserve">This </w:t>
      </w:r>
      <w:r w:rsidR="00A46405" w:rsidRPr="0002222C">
        <w:rPr>
          <w:rFonts w:ascii="Arial" w:hAnsi="Arial" w:cs="Arial"/>
        </w:rPr>
        <w:t xml:space="preserve">document presents the detailed purpose and requirements of </w:t>
      </w:r>
      <w:r w:rsidR="00CE74DF" w:rsidRPr="0002222C">
        <w:rPr>
          <w:rFonts w:ascii="Arial" w:hAnsi="Arial" w:cs="Arial"/>
        </w:rPr>
        <w:t xml:space="preserve">providers </w:t>
      </w:r>
      <w:r w:rsidR="00A46405" w:rsidRPr="0002222C">
        <w:rPr>
          <w:rFonts w:ascii="Arial" w:hAnsi="Arial" w:cs="Arial"/>
        </w:rPr>
        <w:t xml:space="preserve">wishing to </w:t>
      </w:r>
      <w:r w:rsidRPr="0002222C">
        <w:rPr>
          <w:rFonts w:ascii="Arial" w:hAnsi="Arial" w:cs="Arial"/>
        </w:rPr>
        <w:t>submit a quote</w:t>
      </w:r>
      <w:r w:rsidR="00A46405" w:rsidRPr="0002222C">
        <w:rPr>
          <w:rFonts w:ascii="Arial" w:hAnsi="Arial" w:cs="Arial"/>
        </w:rPr>
        <w:t xml:space="preserve"> for this contract.</w:t>
      </w:r>
    </w:p>
    <w:p w:rsidR="00A47A96" w:rsidRPr="0002222C" w:rsidRDefault="00A47A96" w:rsidP="00C71BBE">
      <w:pPr>
        <w:autoSpaceDE w:val="0"/>
        <w:autoSpaceDN w:val="0"/>
        <w:adjustRightInd w:val="0"/>
        <w:spacing w:after="0" w:line="360" w:lineRule="auto"/>
        <w:jc w:val="both"/>
        <w:rPr>
          <w:rFonts w:ascii="Arial" w:hAnsi="Arial" w:cs="Arial"/>
        </w:rPr>
      </w:pPr>
    </w:p>
    <w:p w:rsidR="00A47A96" w:rsidRPr="0002222C" w:rsidRDefault="00A47A96" w:rsidP="00C71BBE">
      <w:pPr>
        <w:pBdr>
          <w:bottom w:val="single" w:sz="4" w:space="1" w:color="auto"/>
        </w:pBdr>
        <w:autoSpaceDE w:val="0"/>
        <w:autoSpaceDN w:val="0"/>
        <w:adjustRightInd w:val="0"/>
        <w:spacing w:after="0" w:line="360" w:lineRule="auto"/>
        <w:jc w:val="both"/>
        <w:rPr>
          <w:rFonts w:ascii="Arial" w:hAnsi="Arial" w:cs="Arial"/>
          <w:b/>
          <w:bCs/>
        </w:rPr>
      </w:pPr>
      <w:r w:rsidRPr="0002222C">
        <w:rPr>
          <w:rFonts w:ascii="Arial" w:hAnsi="Arial" w:cs="Arial"/>
          <w:b/>
          <w:bCs/>
        </w:rPr>
        <w:t xml:space="preserve">About </w:t>
      </w:r>
      <w:r w:rsidR="003E665C">
        <w:rPr>
          <w:rFonts w:ascii="Arial" w:hAnsi="Arial" w:cs="Arial"/>
          <w:b/>
          <w:bCs/>
        </w:rPr>
        <w:t xml:space="preserve">the </w:t>
      </w:r>
      <w:r w:rsidR="003E665C" w:rsidRPr="00ED31E7">
        <w:rPr>
          <w:rFonts w:ascii="Arial" w:hAnsi="Arial" w:cs="Arial"/>
          <w:b/>
          <w:bCs/>
        </w:rPr>
        <w:t>Business Growth Hub</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 xml:space="preserve">Established in 2011 the Business Growth Hub (trading name of GM Business Support Ltd)  has helped thousands of businesses across Greater Manchester, from established and large companies to start-ups and SME enterprises. </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 xml:space="preserve">The Hub helps ambitious business people to realise their growth potential by offering access to a range of practical services, from assessing growth options to unlocking finance or accessing experienced business mentors. </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Accountable to the Greater Manchester Local Enterprise Partnership, the Business Growth Hub’s challenge is to ensure that companies across Greater Manchester reach their full potential and are able to access the right support and services to meet their needs. These include:</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Personal support to identify and address business growth opportunities and challenges;</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Business to business networking through growth lunches and specialist events;</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Expert growth advice and planning under Growth, Growth Start-up, Mentoring, Digital Growth, and Access to Finance and Green Growth;</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Delivery of Business Growth Service for manufacturers across the North West of England; and</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Access to a wealth of public and private sector business and professional partners with a range of specialist knowledge and skills including a network of committed private providers who share our vision for supporting growth.</w:t>
      </w:r>
    </w:p>
    <w:p w:rsidR="00F27DF1" w:rsidRPr="00F27DF1" w:rsidRDefault="00F27DF1" w:rsidP="00F27DF1">
      <w:pPr>
        <w:spacing w:before="120" w:after="120"/>
        <w:rPr>
          <w:rFonts w:ascii="Arial" w:eastAsia="Times New Roman" w:hAnsi="Arial" w:cs="Arial"/>
        </w:rPr>
      </w:pPr>
      <w:r w:rsidRPr="00F27DF1">
        <w:rPr>
          <w:rFonts w:ascii="Arial" w:eastAsia="Times New Roman" w:hAnsi="Arial" w:cs="Arial"/>
        </w:rPr>
        <w:t>Complementary support is also provided by UKTI Trade and Investment services and MIDAS, to attract inward investment and support re-investment by companies.</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 xml:space="preserve">The Hub works with business leaders across Greater Manchester, and the wider North West, who are looking to connect with other </w:t>
      </w:r>
      <w:r w:rsidR="00ED31E7" w:rsidRPr="00F27DF1">
        <w:rPr>
          <w:rFonts w:ascii="Arial" w:eastAsia="Times New Roman" w:hAnsi="Arial" w:cs="Arial"/>
        </w:rPr>
        <w:t>like-minded</w:t>
      </w:r>
      <w:r w:rsidRPr="00F27DF1">
        <w:rPr>
          <w:rFonts w:ascii="Arial" w:eastAsia="Times New Roman" w:hAnsi="Arial" w:cs="Arial"/>
        </w:rPr>
        <w:t xml:space="preserve"> businesses to discover new opportunities for growth.</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 xml:space="preserve">The Business Growth Hub - funded by the </w:t>
      </w:r>
      <w:hyperlink r:id="rId11" w:tgtFrame="_blank" w:history="1">
        <w:r w:rsidRPr="00F27DF1">
          <w:rPr>
            <w:rFonts w:ascii="Arial" w:eastAsia="Times New Roman" w:hAnsi="Arial" w:cs="Arial"/>
          </w:rPr>
          <w:t>European Regional Development Fund (ERDF)</w:t>
        </w:r>
      </w:hyperlink>
      <w:r w:rsidRPr="00F27DF1">
        <w:rPr>
          <w:rFonts w:ascii="Arial" w:eastAsia="Times New Roman" w:hAnsi="Arial" w:cs="Arial"/>
        </w:rPr>
        <w:t xml:space="preserve"> and the UK Government's Regional Growth Funds, provides support to businesses of all sizes, from innovative young enterprises to established corporates, to be part our growing network and overcome barriers to growth.</w:t>
      </w:r>
    </w:p>
    <w:p w:rsidR="00A30F3F" w:rsidRDefault="00A30F3F" w:rsidP="00C71BBE">
      <w:pPr>
        <w:shd w:val="clear" w:color="auto" w:fill="FFFFFF"/>
        <w:spacing w:after="0" w:line="360" w:lineRule="auto"/>
        <w:jc w:val="both"/>
        <w:rPr>
          <w:rFonts w:ascii="Arial" w:hAnsi="Arial" w:cs="Arial"/>
          <w:u w:val="single"/>
        </w:rPr>
      </w:pPr>
    </w:p>
    <w:p w:rsidR="00F27DF1" w:rsidRDefault="00F27DF1" w:rsidP="00C71BBE">
      <w:pPr>
        <w:shd w:val="clear" w:color="auto" w:fill="FFFFFF"/>
        <w:spacing w:after="0" w:line="360" w:lineRule="auto"/>
        <w:jc w:val="both"/>
        <w:rPr>
          <w:rFonts w:ascii="Arial" w:hAnsi="Arial" w:cs="Arial"/>
          <w:u w:val="single"/>
        </w:rPr>
      </w:pPr>
    </w:p>
    <w:p w:rsidR="00A30F3F" w:rsidRDefault="00A30F3F" w:rsidP="00C71BBE">
      <w:pPr>
        <w:shd w:val="clear" w:color="auto" w:fill="FFFFFF"/>
        <w:spacing w:after="0" w:line="360" w:lineRule="auto"/>
        <w:jc w:val="both"/>
        <w:rPr>
          <w:rFonts w:ascii="Arial" w:hAnsi="Arial" w:cs="Arial"/>
          <w:u w:val="single"/>
        </w:rPr>
      </w:pPr>
    </w:p>
    <w:p w:rsidR="00A30F3F" w:rsidRDefault="00A30F3F" w:rsidP="00CE1B20">
      <w:pPr>
        <w:spacing w:after="0" w:line="360" w:lineRule="auto"/>
        <w:jc w:val="both"/>
        <w:rPr>
          <w:rFonts w:ascii="Arial" w:hAnsi="Arial" w:cs="Arial"/>
          <w:u w:val="single"/>
        </w:rPr>
      </w:pPr>
    </w:p>
    <w:p w:rsidR="005323B5" w:rsidRPr="00B5123C" w:rsidRDefault="00C540C9" w:rsidP="00B5123C">
      <w:pPr>
        <w:spacing w:before="120" w:after="120" w:line="240" w:lineRule="auto"/>
        <w:rPr>
          <w:rFonts w:ascii="Arial" w:eastAsia="Times New Roman" w:hAnsi="Arial" w:cs="Arial"/>
        </w:rPr>
      </w:pPr>
      <w:r w:rsidRPr="00B5123C">
        <w:rPr>
          <w:rFonts w:ascii="Arial" w:eastAsia="Times New Roman" w:hAnsi="Arial" w:cs="Arial"/>
        </w:rPr>
        <w:t>Growth Services (Growth Team)</w:t>
      </w:r>
      <w:r w:rsidR="00CE1B20" w:rsidRPr="00B5123C">
        <w:rPr>
          <w:rFonts w:ascii="Arial" w:eastAsia="Times New Roman" w:hAnsi="Arial" w:cs="Arial"/>
        </w:rPr>
        <w:t xml:space="preserve"> </w:t>
      </w:r>
      <w:r w:rsidRPr="00B5123C">
        <w:rPr>
          <w:rFonts w:ascii="Arial" w:eastAsia="Times New Roman" w:hAnsi="Arial" w:cs="Arial"/>
        </w:rPr>
        <w:t>–</w:t>
      </w:r>
      <w:r w:rsidR="00CE1B20" w:rsidRPr="00B5123C">
        <w:rPr>
          <w:rFonts w:ascii="Arial" w:eastAsia="Times New Roman" w:hAnsi="Arial" w:cs="Arial"/>
        </w:rPr>
        <w:t xml:space="preserve"> </w:t>
      </w:r>
      <w:r w:rsidRPr="00B5123C">
        <w:rPr>
          <w:rFonts w:ascii="Arial" w:eastAsia="Times New Roman" w:hAnsi="Arial" w:cs="Arial"/>
        </w:rPr>
        <w:t>Recipe for Success Programme</w:t>
      </w:r>
    </w:p>
    <w:p w:rsidR="00C540C9" w:rsidRPr="00B5123C" w:rsidRDefault="00C540C9" w:rsidP="00B5123C">
      <w:pPr>
        <w:spacing w:before="120" w:after="120" w:line="240" w:lineRule="auto"/>
        <w:rPr>
          <w:rFonts w:ascii="Arial" w:eastAsia="Times New Roman" w:hAnsi="Arial" w:cs="Arial"/>
        </w:rPr>
      </w:pPr>
      <w:r w:rsidRPr="00B5123C">
        <w:rPr>
          <w:rFonts w:ascii="Arial" w:eastAsia="Times New Roman" w:hAnsi="Arial" w:cs="Arial"/>
        </w:rPr>
        <w:t>The Growth Service is delivered by experienced Growth Advisors who have either owned their own successful businesses or have operated at a senior management level previously.  They provide a highly personalised and tailored service which is backed up by an excellent all round knowledge of business support and the types of funding that are available.  Their main focus is helping Greater Manchester businesses to grow to ultimately create jobs and improve the financial position of the business with advice and guidance across all areas of business areas and disciplines.  By engaging with businesses for specialist programmes such as Meet the Buyer - Recipe for Success &amp; Textbook Tendering the Growth team can also provide specialist sector specific support leading to major contracts with larger organisations. We also provide pertinent workshops based on client needs to upskill in specific professional areas such as Law, Employment and other Specialist subjects. Although the remit of the Growth team is wide in terms of business area and discipline (as listed below) the key role for the advisors is to develop and manage the growth and potential of eligible businesses in Greater Manchester. Strategic Business Planning</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Operational Management &amp; restructuring</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Setting objectives including KPI creation &amp; business benchmarking</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Understanding and implementing Project/Change Management</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Marketing &amp; Sales development including Market Analysis and Segmentation</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Implementing Process Development/Improvement projects including  Business Process Re-engineering</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Improving Client/Relationship Management</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Commercial Negotiation techniques and support through the process</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Expertise and insight into Public Sector Support &amp; contacts</w:t>
      </w:r>
    </w:p>
    <w:p w:rsidR="00C540C9" w:rsidRPr="00B5123C" w:rsidRDefault="00C540C9" w:rsidP="00B5123C">
      <w:pPr>
        <w:pStyle w:val="ListParagraph"/>
        <w:numPr>
          <w:ilvl w:val="0"/>
          <w:numId w:val="20"/>
        </w:numPr>
        <w:spacing w:before="120" w:after="120" w:line="240" w:lineRule="auto"/>
        <w:rPr>
          <w:rFonts w:ascii="Arial" w:eastAsia="Times New Roman" w:hAnsi="Arial" w:cs="Arial"/>
        </w:rPr>
      </w:pPr>
      <w:r w:rsidRPr="00B5123C">
        <w:rPr>
          <w:rFonts w:ascii="Arial" w:eastAsia="Times New Roman" w:hAnsi="Arial" w:cs="Arial"/>
        </w:rPr>
        <w:t>Specialist skills in diverse sectors including Biomed &amp; Health, Manufacturing &amp; Engineering, Financial Services, Food &amp; Drink, Public Sector,  Pharmaceutical &amp; Chemical, IT, Logistics</w:t>
      </w:r>
    </w:p>
    <w:p w:rsidR="0000186C" w:rsidRPr="00B5123C" w:rsidRDefault="0000186C" w:rsidP="00B5123C">
      <w:pPr>
        <w:spacing w:before="120" w:after="120" w:line="240" w:lineRule="auto"/>
        <w:rPr>
          <w:rFonts w:ascii="Arial" w:eastAsia="Times New Roman" w:hAnsi="Arial" w:cs="Arial"/>
        </w:rPr>
      </w:pPr>
    </w:p>
    <w:p w:rsidR="0000186C" w:rsidRDefault="0000186C" w:rsidP="00C71BBE">
      <w:pPr>
        <w:pBdr>
          <w:bottom w:val="single" w:sz="4" w:space="1" w:color="auto"/>
        </w:pBdr>
        <w:autoSpaceDE w:val="0"/>
        <w:autoSpaceDN w:val="0"/>
        <w:adjustRightInd w:val="0"/>
        <w:spacing w:after="0" w:line="360" w:lineRule="auto"/>
        <w:rPr>
          <w:rFonts w:ascii="Arial" w:hAnsi="Arial" w:cs="Arial"/>
          <w:b/>
          <w:bCs/>
        </w:rPr>
      </w:pPr>
    </w:p>
    <w:p w:rsidR="0000186C" w:rsidRDefault="0000186C" w:rsidP="00C71BBE">
      <w:pPr>
        <w:pBdr>
          <w:bottom w:val="single" w:sz="4" w:space="1" w:color="auto"/>
        </w:pBdr>
        <w:autoSpaceDE w:val="0"/>
        <w:autoSpaceDN w:val="0"/>
        <w:adjustRightInd w:val="0"/>
        <w:spacing w:after="0" w:line="360" w:lineRule="auto"/>
        <w:rPr>
          <w:rFonts w:ascii="Arial" w:hAnsi="Arial" w:cs="Arial"/>
          <w:b/>
          <w:bCs/>
        </w:rPr>
      </w:pPr>
    </w:p>
    <w:p w:rsidR="00C540C9" w:rsidRDefault="00C540C9">
      <w:pPr>
        <w:rPr>
          <w:rFonts w:ascii="Arial" w:hAnsi="Arial" w:cs="Arial"/>
          <w:b/>
          <w:bCs/>
        </w:rPr>
      </w:pPr>
      <w:r>
        <w:rPr>
          <w:rFonts w:ascii="Arial" w:hAnsi="Arial" w:cs="Arial"/>
          <w:b/>
          <w:bCs/>
        </w:rPr>
        <w:br w:type="page"/>
      </w:r>
    </w:p>
    <w:p w:rsidR="0000186C" w:rsidRPr="0002222C" w:rsidRDefault="0000186C" w:rsidP="00C71BBE">
      <w:pPr>
        <w:pBdr>
          <w:bottom w:val="single" w:sz="4" w:space="1" w:color="auto"/>
        </w:pBdr>
        <w:autoSpaceDE w:val="0"/>
        <w:autoSpaceDN w:val="0"/>
        <w:adjustRightInd w:val="0"/>
        <w:spacing w:after="0" w:line="360" w:lineRule="auto"/>
        <w:rPr>
          <w:rFonts w:ascii="Arial" w:hAnsi="Arial" w:cs="Arial"/>
          <w:b/>
          <w:bCs/>
        </w:rPr>
      </w:pPr>
    </w:p>
    <w:p w:rsidR="00824B00" w:rsidRPr="0002222C" w:rsidRDefault="0007323F" w:rsidP="00C71BBE">
      <w:pPr>
        <w:pBdr>
          <w:bottom w:val="single" w:sz="4" w:space="1" w:color="auto"/>
        </w:pBdr>
        <w:autoSpaceDE w:val="0"/>
        <w:autoSpaceDN w:val="0"/>
        <w:adjustRightInd w:val="0"/>
        <w:spacing w:after="0" w:line="360" w:lineRule="auto"/>
        <w:rPr>
          <w:rFonts w:ascii="Arial" w:hAnsi="Arial" w:cs="Arial"/>
          <w:b/>
          <w:bCs/>
        </w:rPr>
      </w:pPr>
      <w:r w:rsidRPr="00F94B96">
        <w:rPr>
          <w:rFonts w:ascii="Arial" w:hAnsi="Arial" w:cs="Arial"/>
          <w:b/>
          <w:bCs/>
        </w:rPr>
        <w:t>Requirement</w:t>
      </w:r>
    </w:p>
    <w:p w:rsidR="00BE310A" w:rsidRDefault="00BE310A" w:rsidP="00C71BBE">
      <w:pPr>
        <w:spacing w:after="0" w:line="360" w:lineRule="auto"/>
        <w:rPr>
          <w:rFonts w:ascii="Arial" w:hAnsi="Arial" w:cs="Arial"/>
        </w:rPr>
      </w:pPr>
    </w:p>
    <w:p w:rsidR="00C540C9" w:rsidRDefault="00ED31E7" w:rsidP="00ED31E7">
      <w:pPr>
        <w:rPr>
          <w:rFonts w:ascii="Arial" w:hAnsi="Arial" w:cs="Arial"/>
        </w:rPr>
      </w:pPr>
      <w:r w:rsidRPr="00C50FE4">
        <w:rPr>
          <w:rFonts w:ascii="Arial" w:hAnsi="Arial" w:cs="Arial"/>
        </w:rPr>
        <w:t xml:space="preserve">The business growth hub are looking for a partner to deliver </w:t>
      </w:r>
      <w:r w:rsidR="004B07C7">
        <w:rPr>
          <w:rFonts w:ascii="Arial" w:hAnsi="Arial" w:cs="Arial"/>
        </w:rPr>
        <w:t xml:space="preserve">workshops 4 and 5 in the program </w:t>
      </w:r>
      <w:r w:rsidR="00C540C9">
        <w:rPr>
          <w:rFonts w:ascii="Arial" w:hAnsi="Arial" w:cs="Arial"/>
        </w:rPr>
        <w:t>as detailed below;</w:t>
      </w:r>
      <w:r w:rsidRPr="00C50FE4">
        <w:rPr>
          <w:rFonts w:ascii="Arial" w:hAnsi="Arial" w:cs="Arial"/>
        </w:rPr>
        <w:t xml:space="preserve"> aimed at mapping o</w:t>
      </w:r>
      <w:r>
        <w:rPr>
          <w:rFonts w:ascii="Arial" w:hAnsi="Arial" w:cs="Arial"/>
        </w:rPr>
        <w:t>u</w:t>
      </w:r>
      <w:r w:rsidR="00C540C9">
        <w:rPr>
          <w:rFonts w:ascii="Arial" w:hAnsi="Arial" w:cs="Arial"/>
        </w:rPr>
        <w:t>t the steps necessary to gain additional market share, l</w:t>
      </w:r>
      <w:r>
        <w:rPr>
          <w:rFonts w:ascii="Arial" w:hAnsi="Arial" w:cs="Arial"/>
        </w:rPr>
        <w:t>isting</w:t>
      </w:r>
      <w:r w:rsidR="00C540C9">
        <w:rPr>
          <w:rFonts w:ascii="Arial" w:hAnsi="Arial" w:cs="Arial"/>
        </w:rPr>
        <w:t>s</w:t>
      </w:r>
      <w:r>
        <w:rPr>
          <w:rFonts w:ascii="Arial" w:hAnsi="Arial" w:cs="Arial"/>
        </w:rPr>
        <w:t xml:space="preserve"> with </w:t>
      </w:r>
      <w:r w:rsidR="00C540C9">
        <w:rPr>
          <w:rFonts w:ascii="Arial" w:hAnsi="Arial" w:cs="Arial"/>
        </w:rPr>
        <w:t>Food Service Companies, Large and Small</w:t>
      </w:r>
      <w:r w:rsidRPr="00C50FE4">
        <w:rPr>
          <w:rFonts w:ascii="Arial" w:hAnsi="Arial" w:cs="Arial"/>
        </w:rPr>
        <w:t xml:space="preserve"> </w:t>
      </w:r>
      <w:r w:rsidR="00C540C9">
        <w:rPr>
          <w:rFonts w:ascii="Arial" w:hAnsi="Arial" w:cs="Arial"/>
        </w:rPr>
        <w:t>UK supermarket chains/independents plus potentially Export markets</w:t>
      </w:r>
      <w:r w:rsidRPr="00C50FE4">
        <w:rPr>
          <w:rFonts w:ascii="Arial" w:hAnsi="Arial" w:cs="Arial"/>
        </w:rPr>
        <w:t>. The audience will consist of fo</w:t>
      </w:r>
      <w:r w:rsidR="004B07C7">
        <w:rPr>
          <w:rFonts w:ascii="Arial" w:hAnsi="Arial" w:cs="Arial"/>
        </w:rPr>
        <w:t xml:space="preserve">od and drink based producers </w:t>
      </w:r>
      <w:r w:rsidRPr="00C50FE4">
        <w:rPr>
          <w:rFonts w:ascii="Arial" w:hAnsi="Arial" w:cs="Arial"/>
        </w:rPr>
        <w:t xml:space="preserve">of varying size and ability so the ability to deliver a jargon free/ clear and </w:t>
      </w:r>
      <w:r w:rsidRPr="004B07C7">
        <w:rPr>
          <w:rFonts w:ascii="Arial" w:hAnsi="Arial" w:cs="Arial"/>
          <w:b/>
        </w:rPr>
        <w:t>inspirational</w:t>
      </w:r>
      <w:r w:rsidRPr="00C50FE4">
        <w:rPr>
          <w:rFonts w:ascii="Arial" w:hAnsi="Arial" w:cs="Arial"/>
        </w:rPr>
        <w:t xml:space="preserve"> worksh</w:t>
      </w:r>
      <w:r w:rsidR="00C540C9">
        <w:rPr>
          <w:rFonts w:ascii="Arial" w:hAnsi="Arial" w:cs="Arial"/>
        </w:rPr>
        <w:t>op is essential. The aim of these</w:t>
      </w:r>
      <w:r w:rsidRPr="00C50FE4">
        <w:rPr>
          <w:rFonts w:ascii="Arial" w:hAnsi="Arial" w:cs="Arial"/>
        </w:rPr>
        <w:t xml:space="preserve"> workshop</w:t>
      </w:r>
      <w:r w:rsidR="00C540C9">
        <w:rPr>
          <w:rFonts w:ascii="Arial" w:hAnsi="Arial" w:cs="Arial"/>
        </w:rPr>
        <w:t>s is to up-</w:t>
      </w:r>
      <w:r w:rsidRPr="00C50FE4">
        <w:rPr>
          <w:rFonts w:ascii="Arial" w:hAnsi="Arial" w:cs="Arial"/>
        </w:rPr>
        <w:t xml:space="preserve">skill </w:t>
      </w:r>
      <w:r w:rsidR="00C540C9">
        <w:rPr>
          <w:rFonts w:ascii="Arial" w:hAnsi="Arial" w:cs="Arial"/>
        </w:rPr>
        <w:t xml:space="preserve">F&amp;D companies to become </w:t>
      </w:r>
      <w:r w:rsidRPr="00C50FE4">
        <w:rPr>
          <w:rFonts w:ascii="Arial" w:hAnsi="Arial" w:cs="Arial"/>
        </w:rPr>
        <w:t>potential new suppliers</w:t>
      </w:r>
      <w:r w:rsidR="00C540C9">
        <w:rPr>
          <w:rFonts w:ascii="Arial" w:hAnsi="Arial" w:cs="Arial"/>
        </w:rPr>
        <w:t xml:space="preserve"> and</w:t>
      </w:r>
      <w:r w:rsidRPr="00C50FE4">
        <w:rPr>
          <w:rFonts w:ascii="Arial" w:hAnsi="Arial" w:cs="Arial"/>
        </w:rPr>
        <w:t xml:space="preserve"> </w:t>
      </w:r>
      <w:r w:rsidR="00C540C9">
        <w:rPr>
          <w:rFonts w:ascii="Arial" w:hAnsi="Arial" w:cs="Arial"/>
        </w:rPr>
        <w:t>focus on</w:t>
      </w:r>
      <w:r w:rsidRPr="00C50FE4">
        <w:rPr>
          <w:rFonts w:ascii="Arial" w:hAnsi="Arial" w:cs="Arial"/>
        </w:rPr>
        <w:t xml:space="preserve"> preparing and presenting their business to </w:t>
      </w:r>
      <w:r w:rsidR="00C540C9">
        <w:rPr>
          <w:rFonts w:ascii="Arial" w:hAnsi="Arial" w:cs="Arial"/>
        </w:rPr>
        <w:t xml:space="preserve">the above </w:t>
      </w:r>
      <w:r w:rsidRPr="00C50FE4">
        <w:rPr>
          <w:rFonts w:ascii="Arial" w:hAnsi="Arial" w:cs="Arial"/>
        </w:rPr>
        <w:t>with a view to the business securing trade at the next level. The workshop</w:t>
      </w:r>
      <w:r w:rsidR="00C540C9">
        <w:rPr>
          <w:rFonts w:ascii="Arial" w:hAnsi="Arial" w:cs="Arial"/>
        </w:rPr>
        <w:t>s are as follows</w:t>
      </w:r>
    </w:p>
    <w:p w:rsidR="008745EE" w:rsidRPr="008745EE" w:rsidRDefault="008745EE" w:rsidP="008745EE">
      <w:pPr>
        <w:spacing w:after="0" w:line="240" w:lineRule="auto"/>
        <w:rPr>
          <w:rFonts w:ascii="Arial" w:hAnsi="Arial" w:cs="Arial"/>
        </w:rPr>
      </w:pPr>
    </w:p>
    <w:p w:rsidR="008745EE" w:rsidRDefault="00885BA7" w:rsidP="008745EE">
      <w:pPr>
        <w:rPr>
          <w:rFonts w:ascii="Arial" w:hAnsi="Arial" w:cs="Arial"/>
          <w:b/>
        </w:rPr>
      </w:pPr>
      <w:r>
        <w:rPr>
          <w:rFonts w:ascii="Arial" w:hAnsi="Arial" w:cs="Arial"/>
          <w:b/>
        </w:rPr>
        <w:t>Workshop 5</w:t>
      </w:r>
      <w:r w:rsidR="008745EE">
        <w:rPr>
          <w:rFonts w:ascii="Arial" w:hAnsi="Arial" w:cs="Arial"/>
          <w:b/>
        </w:rPr>
        <w:t xml:space="preserve"> </w:t>
      </w:r>
      <w:r w:rsidR="004B07C7">
        <w:rPr>
          <w:rFonts w:ascii="Arial" w:hAnsi="Arial" w:cs="Arial"/>
          <w:b/>
        </w:rPr>
        <w:t xml:space="preserve">- </w:t>
      </w:r>
      <w:r w:rsidR="008745EE">
        <w:rPr>
          <w:rFonts w:ascii="Arial" w:hAnsi="Arial" w:cs="Arial"/>
          <w:b/>
        </w:rPr>
        <w:t>(full</w:t>
      </w:r>
      <w:r w:rsidR="004B07C7">
        <w:rPr>
          <w:rFonts w:ascii="Arial" w:hAnsi="Arial" w:cs="Arial"/>
          <w:b/>
        </w:rPr>
        <w:t xml:space="preserve"> day) </w:t>
      </w:r>
      <w:r w:rsidR="00D26AFB" w:rsidRPr="00D26AFB">
        <w:rPr>
          <w:rFonts w:ascii="Arial" w:hAnsi="Arial" w:cs="Arial"/>
        </w:rPr>
        <w:t>Understanding food retailers- Engaging with major retailers</w:t>
      </w:r>
      <w:r w:rsidR="0018454D">
        <w:rPr>
          <w:rFonts w:ascii="Arial" w:hAnsi="Arial" w:cs="Arial"/>
        </w:rPr>
        <w:t xml:space="preserve"> and </w:t>
      </w:r>
      <w:r w:rsidR="00D26AFB">
        <w:rPr>
          <w:rFonts w:ascii="Arial" w:hAnsi="Arial" w:cs="Arial"/>
        </w:rPr>
        <w:t>foodservice chains</w:t>
      </w:r>
      <w:r w:rsidR="000E3747">
        <w:rPr>
          <w:rFonts w:ascii="Arial" w:hAnsi="Arial" w:cs="Arial"/>
        </w:rPr>
        <w:t>.</w:t>
      </w:r>
    </w:p>
    <w:p w:rsidR="008745EE" w:rsidRDefault="008745EE" w:rsidP="008745EE">
      <w:pPr>
        <w:pStyle w:val="ListParagraph"/>
        <w:numPr>
          <w:ilvl w:val="0"/>
          <w:numId w:val="17"/>
        </w:numPr>
        <w:spacing w:after="0" w:line="240" w:lineRule="auto"/>
        <w:contextualSpacing w:val="0"/>
        <w:rPr>
          <w:rFonts w:ascii="Arial" w:hAnsi="Arial" w:cs="Arial"/>
        </w:rPr>
      </w:pPr>
      <w:r w:rsidRPr="00C50FE4">
        <w:rPr>
          <w:rFonts w:ascii="Arial" w:hAnsi="Arial" w:cs="Arial"/>
        </w:rPr>
        <w:t>Sales strategy, branding, gap analysis and USPs.</w:t>
      </w:r>
    </w:p>
    <w:p w:rsidR="00D26AFB" w:rsidRPr="00C50FE4" w:rsidRDefault="00D26AFB" w:rsidP="00D26AFB">
      <w:pPr>
        <w:pStyle w:val="ListParagraph"/>
        <w:numPr>
          <w:ilvl w:val="0"/>
          <w:numId w:val="17"/>
        </w:numPr>
        <w:spacing w:after="0" w:line="240" w:lineRule="auto"/>
        <w:contextualSpacing w:val="0"/>
        <w:rPr>
          <w:rFonts w:ascii="Arial" w:hAnsi="Arial" w:cs="Arial"/>
        </w:rPr>
      </w:pPr>
      <w:r w:rsidRPr="00C50FE4">
        <w:rPr>
          <w:rFonts w:ascii="Arial" w:hAnsi="Arial" w:cs="Arial"/>
        </w:rPr>
        <w:t xml:space="preserve">Cost of goods/ margins and walk away point. </w:t>
      </w:r>
    </w:p>
    <w:p w:rsidR="00D26AFB" w:rsidRPr="00C50FE4" w:rsidRDefault="00D26AFB" w:rsidP="00D26AFB">
      <w:pPr>
        <w:pStyle w:val="ListParagraph"/>
        <w:numPr>
          <w:ilvl w:val="0"/>
          <w:numId w:val="17"/>
        </w:numPr>
        <w:spacing w:after="0" w:line="240" w:lineRule="auto"/>
        <w:contextualSpacing w:val="0"/>
        <w:rPr>
          <w:rFonts w:ascii="Arial" w:hAnsi="Arial" w:cs="Arial"/>
        </w:rPr>
      </w:pPr>
      <w:r w:rsidRPr="00C50FE4">
        <w:rPr>
          <w:rFonts w:ascii="Arial" w:hAnsi="Arial" w:cs="Arial"/>
        </w:rPr>
        <w:t>Building a price point to include marketing.</w:t>
      </w:r>
    </w:p>
    <w:p w:rsidR="00D26AFB" w:rsidRPr="00C50FE4" w:rsidRDefault="00D26AFB" w:rsidP="00D26AFB">
      <w:pPr>
        <w:pStyle w:val="ListParagraph"/>
        <w:numPr>
          <w:ilvl w:val="0"/>
          <w:numId w:val="17"/>
        </w:numPr>
        <w:spacing w:after="0" w:line="240" w:lineRule="auto"/>
        <w:contextualSpacing w:val="0"/>
        <w:rPr>
          <w:rFonts w:ascii="Arial" w:hAnsi="Arial" w:cs="Arial"/>
        </w:rPr>
      </w:pPr>
      <w:r w:rsidRPr="00C50FE4">
        <w:rPr>
          <w:rFonts w:ascii="Arial" w:hAnsi="Arial" w:cs="Arial"/>
        </w:rPr>
        <w:t>Business stability/ cash flow, the impact of a listing and associated costs. Creating a sustainable business.</w:t>
      </w:r>
    </w:p>
    <w:p w:rsidR="00D26AFB" w:rsidRDefault="00D26AFB" w:rsidP="00D26AFB">
      <w:pPr>
        <w:pStyle w:val="ListParagraph"/>
        <w:numPr>
          <w:ilvl w:val="0"/>
          <w:numId w:val="17"/>
        </w:numPr>
        <w:spacing w:after="0" w:line="240" w:lineRule="auto"/>
        <w:contextualSpacing w:val="0"/>
        <w:rPr>
          <w:rFonts w:ascii="Arial" w:hAnsi="Arial" w:cs="Arial"/>
        </w:rPr>
      </w:pPr>
      <w:r w:rsidRPr="00C50FE4">
        <w:rPr>
          <w:rFonts w:ascii="Arial" w:hAnsi="Arial" w:cs="Arial"/>
        </w:rPr>
        <w:t>Logistics and outsourcing (contract manufacture).</w:t>
      </w:r>
    </w:p>
    <w:p w:rsidR="00DD3E2B" w:rsidRPr="00DD3E2B" w:rsidRDefault="00DD3E2B" w:rsidP="00DD3E2B">
      <w:pPr>
        <w:pStyle w:val="ListParagraph"/>
        <w:numPr>
          <w:ilvl w:val="0"/>
          <w:numId w:val="17"/>
        </w:numPr>
        <w:spacing w:after="0" w:line="240" w:lineRule="auto"/>
        <w:contextualSpacing w:val="0"/>
        <w:rPr>
          <w:rFonts w:ascii="Arial" w:hAnsi="Arial" w:cs="Arial"/>
        </w:rPr>
      </w:pPr>
      <w:r>
        <w:rPr>
          <w:rFonts w:ascii="Arial" w:hAnsi="Arial" w:cs="Arial"/>
        </w:rPr>
        <w:t>Sharing your experience when dealing with small food producers.</w:t>
      </w:r>
    </w:p>
    <w:p w:rsidR="004B07C7" w:rsidRPr="00DD3E2B" w:rsidRDefault="000E3747" w:rsidP="00DD3E2B">
      <w:pPr>
        <w:pStyle w:val="ListParagraph"/>
        <w:numPr>
          <w:ilvl w:val="0"/>
          <w:numId w:val="17"/>
        </w:numPr>
        <w:spacing w:after="0" w:line="240" w:lineRule="auto"/>
        <w:contextualSpacing w:val="0"/>
        <w:rPr>
          <w:rFonts w:ascii="Arial" w:hAnsi="Arial" w:cs="Arial"/>
        </w:rPr>
      </w:pPr>
      <w:r w:rsidRPr="00DD3E2B">
        <w:rPr>
          <w:rFonts w:ascii="Arial" w:hAnsi="Arial" w:cs="Arial"/>
        </w:rPr>
        <w:t>How approach a key buying contac</w:t>
      </w:r>
      <w:r w:rsidR="00DD3E2B" w:rsidRPr="00DD3E2B">
        <w:rPr>
          <w:rFonts w:ascii="Arial" w:hAnsi="Arial" w:cs="Arial"/>
        </w:rPr>
        <w:t xml:space="preserve">t and how to successfully pitch (to include) - </w:t>
      </w:r>
      <w:r w:rsidR="004B07C7" w:rsidRPr="00DD3E2B">
        <w:rPr>
          <w:rFonts w:ascii="Arial" w:hAnsi="Arial" w:cs="Arial"/>
        </w:rPr>
        <w:t>Pre-meeting research and preparation.</w:t>
      </w:r>
    </w:p>
    <w:p w:rsidR="004B07C7" w:rsidRDefault="004B07C7" w:rsidP="00DD3E2B">
      <w:pPr>
        <w:pStyle w:val="ListParagraph"/>
        <w:spacing w:after="0" w:line="240" w:lineRule="auto"/>
        <w:contextualSpacing w:val="0"/>
        <w:rPr>
          <w:rFonts w:ascii="Arial" w:hAnsi="Arial" w:cs="Arial"/>
        </w:rPr>
      </w:pPr>
    </w:p>
    <w:p w:rsidR="00D26AFB" w:rsidRPr="00D26AFB" w:rsidRDefault="00D26AFB" w:rsidP="00D26AFB">
      <w:pPr>
        <w:spacing w:after="0" w:line="240" w:lineRule="auto"/>
        <w:rPr>
          <w:rFonts w:ascii="Arial" w:hAnsi="Arial" w:cs="Arial"/>
        </w:rPr>
      </w:pPr>
    </w:p>
    <w:p w:rsidR="008745EE" w:rsidRDefault="008745EE" w:rsidP="008745EE">
      <w:pPr>
        <w:rPr>
          <w:rFonts w:ascii="Arial" w:hAnsi="Arial" w:cs="Arial"/>
        </w:rPr>
      </w:pPr>
    </w:p>
    <w:p w:rsidR="008745EE" w:rsidRDefault="008745EE" w:rsidP="008745EE">
      <w:pPr>
        <w:rPr>
          <w:rFonts w:ascii="Arial" w:hAnsi="Arial" w:cs="Arial"/>
          <w:b/>
        </w:rPr>
      </w:pPr>
      <w:r>
        <w:rPr>
          <w:rFonts w:ascii="Arial" w:hAnsi="Arial" w:cs="Arial"/>
          <w:b/>
        </w:rPr>
        <w:t xml:space="preserve">Workshop </w:t>
      </w:r>
      <w:r w:rsidR="00885BA7">
        <w:rPr>
          <w:rFonts w:ascii="Arial" w:hAnsi="Arial" w:cs="Arial"/>
          <w:b/>
        </w:rPr>
        <w:t>6</w:t>
      </w:r>
      <w:r w:rsidR="000E3747">
        <w:rPr>
          <w:rFonts w:ascii="Arial" w:hAnsi="Arial" w:cs="Arial"/>
          <w:b/>
        </w:rPr>
        <w:t xml:space="preserve">- </w:t>
      </w:r>
      <w:r>
        <w:rPr>
          <w:rFonts w:ascii="Arial" w:hAnsi="Arial" w:cs="Arial"/>
          <w:b/>
        </w:rPr>
        <w:t>PITCHING SESSION (half</w:t>
      </w:r>
      <w:r w:rsidRPr="00C540C9">
        <w:rPr>
          <w:rFonts w:ascii="Arial" w:hAnsi="Arial" w:cs="Arial"/>
          <w:b/>
        </w:rPr>
        <w:t xml:space="preserve"> day) </w:t>
      </w:r>
    </w:p>
    <w:p w:rsidR="00ED31E7" w:rsidRDefault="00ED31E7" w:rsidP="00ED31E7">
      <w:pPr>
        <w:spacing w:after="0" w:line="240" w:lineRule="auto"/>
        <w:rPr>
          <w:rFonts w:ascii="Arial" w:hAnsi="Arial" w:cs="Arial"/>
        </w:rPr>
      </w:pPr>
      <w:r>
        <w:rPr>
          <w:rFonts w:ascii="Arial" w:hAnsi="Arial" w:cs="Arial"/>
        </w:rPr>
        <w:t>An additional session will also be required for those participants wishing to consolidate their knowledge via a 15-20 mock presentation. You will be expected to engage with the business in a 1-2-1 buyer style scenario and to provide constructive feedback for the business post presentation.</w:t>
      </w:r>
      <w:r w:rsidR="004B07C7">
        <w:rPr>
          <w:rFonts w:ascii="Arial" w:hAnsi="Arial" w:cs="Arial"/>
        </w:rPr>
        <w:t xml:space="preserve"> </w:t>
      </w:r>
    </w:p>
    <w:p w:rsidR="004B07C7" w:rsidRDefault="004B07C7" w:rsidP="00ED31E7">
      <w:pPr>
        <w:spacing w:after="0" w:line="240" w:lineRule="auto"/>
        <w:rPr>
          <w:rFonts w:ascii="Arial" w:hAnsi="Arial" w:cs="Arial"/>
        </w:rPr>
      </w:pPr>
    </w:p>
    <w:p w:rsidR="00DD3E2B" w:rsidRPr="00DD3E2B" w:rsidRDefault="00DD3E2B" w:rsidP="00DD3E2B">
      <w:pPr>
        <w:pStyle w:val="ListParagraph"/>
        <w:numPr>
          <w:ilvl w:val="0"/>
          <w:numId w:val="17"/>
        </w:numPr>
        <w:spacing w:after="0" w:line="240" w:lineRule="auto"/>
        <w:contextualSpacing w:val="0"/>
        <w:rPr>
          <w:rFonts w:ascii="Arial" w:hAnsi="Arial" w:cs="Arial"/>
        </w:rPr>
      </w:pPr>
      <w:r w:rsidRPr="00DD3E2B">
        <w:rPr>
          <w:rFonts w:ascii="Arial" w:hAnsi="Arial" w:cs="Arial"/>
        </w:rPr>
        <w:t>Provide constructive feedback post pitch.</w:t>
      </w:r>
      <w:r>
        <w:rPr>
          <w:rFonts w:ascii="Arial" w:hAnsi="Arial" w:cs="Arial"/>
        </w:rPr>
        <w:t xml:space="preserve"> </w:t>
      </w:r>
    </w:p>
    <w:p w:rsidR="00DD3E2B" w:rsidRPr="00DD3E2B" w:rsidRDefault="00DD3E2B" w:rsidP="00DD3E2B">
      <w:pPr>
        <w:pStyle w:val="ListParagraph"/>
        <w:numPr>
          <w:ilvl w:val="0"/>
          <w:numId w:val="17"/>
        </w:numPr>
        <w:spacing w:after="0" w:line="240" w:lineRule="auto"/>
        <w:contextualSpacing w:val="0"/>
        <w:rPr>
          <w:rFonts w:ascii="Arial" w:hAnsi="Arial" w:cs="Arial"/>
        </w:rPr>
      </w:pPr>
      <w:r w:rsidRPr="00DD3E2B">
        <w:rPr>
          <w:rFonts w:ascii="Arial" w:hAnsi="Arial" w:cs="Arial"/>
        </w:rPr>
        <w:t>Provide written feedback to the Business Growth Hub for each business ready for advisor 1-2-1 post program ongoing support.</w:t>
      </w: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BE310A" w:rsidRPr="003A53F1" w:rsidRDefault="003A53F1" w:rsidP="003A53F1">
      <w:pPr>
        <w:pBdr>
          <w:bottom w:val="single" w:sz="4" w:space="1" w:color="auto"/>
        </w:pBdr>
        <w:spacing w:after="0" w:line="360" w:lineRule="auto"/>
        <w:rPr>
          <w:rFonts w:ascii="Arial" w:hAnsi="Arial" w:cs="Arial"/>
          <w:b/>
        </w:rPr>
      </w:pPr>
      <w:r w:rsidRPr="003A53F1">
        <w:rPr>
          <w:rFonts w:ascii="Arial" w:hAnsi="Arial" w:cs="Arial"/>
          <w:b/>
        </w:rPr>
        <w:t>Scope</w:t>
      </w:r>
    </w:p>
    <w:p w:rsidR="00476B24" w:rsidRDefault="00476B24" w:rsidP="00C71BBE">
      <w:pPr>
        <w:keepNext/>
        <w:tabs>
          <w:tab w:val="left" w:pos="1418"/>
        </w:tabs>
        <w:spacing w:after="0" w:line="360" w:lineRule="auto"/>
        <w:jc w:val="both"/>
        <w:rPr>
          <w:rFonts w:ascii="Arial" w:hAnsi="Arial" w:cs="Arial"/>
        </w:rPr>
      </w:pPr>
    </w:p>
    <w:p w:rsidR="00ED31E7" w:rsidRDefault="008745EE" w:rsidP="00CE6366">
      <w:pPr>
        <w:keepNext/>
        <w:tabs>
          <w:tab w:val="left" w:pos="1418"/>
        </w:tabs>
        <w:spacing w:after="0" w:line="360" w:lineRule="auto"/>
        <w:jc w:val="both"/>
        <w:rPr>
          <w:rFonts w:ascii="Arial" w:hAnsi="Arial" w:cs="Arial"/>
        </w:rPr>
      </w:pPr>
      <w:r>
        <w:rPr>
          <w:rFonts w:ascii="Arial" w:hAnsi="Arial" w:cs="Arial"/>
        </w:rPr>
        <w:t xml:space="preserve">These workshops will be part of an overall programme and this will start in January 2018 (dates to be confirmed) in a Central Manchester location </w:t>
      </w:r>
    </w:p>
    <w:p w:rsidR="00476B24" w:rsidRDefault="00476B24" w:rsidP="00C71BBE">
      <w:pPr>
        <w:keepNext/>
        <w:tabs>
          <w:tab w:val="left" w:pos="1418"/>
        </w:tabs>
        <w:spacing w:after="0" w:line="360" w:lineRule="auto"/>
        <w:jc w:val="both"/>
        <w:rPr>
          <w:rFonts w:ascii="Arial" w:hAnsi="Arial" w:cs="Arial"/>
        </w:rPr>
      </w:pPr>
    </w:p>
    <w:p w:rsidR="00872ACA" w:rsidRPr="0002222C" w:rsidRDefault="0009173E" w:rsidP="00802844">
      <w:pPr>
        <w:keepNext/>
        <w:tabs>
          <w:tab w:val="left" w:pos="1418"/>
        </w:tabs>
        <w:spacing w:after="0" w:line="360" w:lineRule="auto"/>
        <w:rPr>
          <w:rFonts w:ascii="Arial" w:hAnsi="Arial" w:cs="Arial"/>
        </w:rPr>
      </w:pPr>
      <w:r w:rsidRPr="0002222C">
        <w:rPr>
          <w:rFonts w:ascii="Arial" w:hAnsi="Arial" w:cs="Arial"/>
        </w:rPr>
        <w:t xml:space="preserve">The activity will </w:t>
      </w:r>
      <w:r w:rsidR="00226E21" w:rsidRPr="0002222C">
        <w:rPr>
          <w:rFonts w:ascii="Arial" w:hAnsi="Arial" w:cs="Arial"/>
        </w:rPr>
        <w:t>be delivered</w:t>
      </w:r>
      <w:r w:rsidRPr="0002222C">
        <w:rPr>
          <w:rFonts w:ascii="Arial" w:hAnsi="Arial" w:cs="Arial"/>
        </w:rPr>
        <w:t xml:space="preserve"> from </w:t>
      </w:r>
      <w:r w:rsidR="00CE6366" w:rsidRPr="00CE6366">
        <w:rPr>
          <w:rFonts w:ascii="Arial" w:hAnsi="Arial" w:cs="Arial"/>
        </w:rPr>
        <w:t>January 2018</w:t>
      </w:r>
      <w:r w:rsidR="00802844">
        <w:rPr>
          <w:rFonts w:ascii="Arial" w:hAnsi="Arial" w:cs="Arial"/>
        </w:rPr>
        <w:t xml:space="preserve">. The </w:t>
      </w:r>
      <w:r w:rsidR="002F51C2" w:rsidRPr="0002222C">
        <w:rPr>
          <w:rFonts w:ascii="Arial" w:hAnsi="Arial" w:cs="Arial"/>
        </w:rPr>
        <w:t>budget</w:t>
      </w:r>
      <w:r w:rsidR="00802844">
        <w:rPr>
          <w:rFonts w:ascii="Arial" w:hAnsi="Arial" w:cs="Arial"/>
        </w:rPr>
        <w:t xml:space="preserve"> for </w:t>
      </w:r>
      <w:r w:rsidR="00CE6366">
        <w:rPr>
          <w:rFonts w:ascii="Arial" w:hAnsi="Arial" w:cs="Arial"/>
        </w:rPr>
        <w:t xml:space="preserve">delivering these workshops </w:t>
      </w:r>
      <w:r w:rsidR="007851FA">
        <w:rPr>
          <w:rFonts w:ascii="Arial" w:hAnsi="Arial" w:cs="Arial"/>
        </w:rPr>
        <w:t>is £</w:t>
      </w:r>
      <w:r w:rsidR="00CE6366">
        <w:rPr>
          <w:rFonts w:ascii="Arial" w:hAnsi="Arial" w:cs="Arial"/>
          <w:b/>
        </w:rPr>
        <w:t>2,000 (exclusive of</w:t>
      </w:r>
      <w:r w:rsidR="00802844" w:rsidRPr="00802844">
        <w:rPr>
          <w:rFonts w:ascii="Arial" w:hAnsi="Arial" w:cs="Arial"/>
          <w:b/>
        </w:rPr>
        <w:t xml:space="preserve"> VAT)</w:t>
      </w:r>
      <w:r w:rsidR="00802844">
        <w:rPr>
          <w:rFonts w:ascii="Arial" w:hAnsi="Arial" w:cs="Arial"/>
        </w:rPr>
        <w:t xml:space="preserve"> </w:t>
      </w:r>
    </w:p>
    <w:p w:rsidR="00B5123C" w:rsidRDefault="00B5123C" w:rsidP="00C71BBE">
      <w:pPr>
        <w:rPr>
          <w:rFonts w:ascii="Arial" w:hAnsi="Arial" w:cs="Arial"/>
          <w:b/>
          <w:bCs/>
        </w:rPr>
      </w:pPr>
    </w:p>
    <w:p w:rsidR="00306DC1" w:rsidRPr="0002222C" w:rsidRDefault="00E61F33" w:rsidP="00C71BBE">
      <w:pPr>
        <w:pBdr>
          <w:bottom w:val="single" w:sz="4" w:space="1" w:color="auto"/>
        </w:pBdr>
        <w:autoSpaceDE w:val="0"/>
        <w:autoSpaceDN w:val="0"/>
        <w:adjustRightInd w:val="0"/>
        <w:spacing w:after="0" w:line="360" w:lineRule="auto"/>
        <w:rPr>
          <w:rFonts w:ascii="Arial" w:hAnsi="Arial" w:cs="Arial"/>
          <w:b/>
          <w:bCs/>
        </w:rPr>
      </w:pPr>
      <w:r w:rsidRPr="00F94B96">
        <w:rPr>
          <w:rFonts w:ascii="Arial" w:hAnsi="Arial" w:cs="Arial"/>
          <w:b/>
          <w:bCs/>
        </w:rPr>
        <w:t>Brief</w:t>
      </w:r>
    </w:p>
    <w:p w:rsidR="00E16BBA" w:rsidRDefault="00B47C58" w:rsidP="00C71BBE">
      <w:pPr>
        <w:spacing w:after="0" w:line="360" w:lineRule="auto"/>
        <w:rPr>
          <w:rFonts w:ascii="Arial" w:hAnsi="Arial" w:cs="Arial"/>
        </w:rPr>
      </w:pPr>
      <w:r w:rsidRPr="0002222C">
        <w:rPr>
          <w:rFonts w:ascii="Arial" w:hAnsi="Arial" w:cs="Arial"/>
        </w:rPr>
        <w:t xml:space="preserve">It is expected that the successful </w:t>
      </w:r>
      <w:r w:rsidR="00CE6366">
        <w:rPr>
          <w:rFonts w:ascii="Arial" w:hAnsi="Arial" w:cs="Arial"/>
        </w:rPr>
        <w:t>provider</w:t>
      </w:r>
      <w:r w:rsidRPr="0002222C">
        <w:rPr>
          <w:rFonts w:ascii="Arial" w:hAnsi="Arial" w:cs="Arial"/>
        </w:rPr>
        <w:t xml:space="preserve"> will carry out</w:t>
      </w:r>
      <w:r w:rsidR="00E16BBA" w:rsidRPr="0002222C">
        <w:rPr>
          <w:rFonts w:ascii="Arial" w:hAnsi="Arial" w:cs="Arial"/>
        </w:rPr>
        <w:t>, as a minimum:</w:t>
      </w:r>
    </w:p>
    <w:p w:rsidR="00CE6366" w:rsidRDefault="00CE6366" w:rsidP="00C71BBE">
      <w:pPr>
        <w:spacing w:after="0" w:line="360" w:lineRule="auto"/>
        <w:rPr>
          <w:rFonts w:ascii="Arial" w:hAnsi="Arial" w:cs="Arial"/>
        </w:rPr>
      </w:pPr>
    </w:p>
    <w:p w:rsidR="00CE6366" w:rsidRDefault="00CE6366" w:rsidP="00CE6366">
      <w:pPr>
        <w:pStyle w:val="ListParagraph"/>
        <w:numPr>
          <w:ilvl w:val="0"/>
          <w:numId w:val="19"/>
        </w:numPr>
        <w:spacing w:after="0" w:line="360" w:lineRule="auto"/>
        <w:rPr>
          <w:rFonts w:ascii="Arial" w:hAnsi="Arial" w:cs="Arial"/>
        </w:rPr>
      </w:pPr>
      <w:r w:rsidRPr="00CE6366">
        <w:rPr>
          <w:rFonts w:ascii="Arial" w:hAnsi="Arial" w:cs="Arial"/>
        </w:rPr>
        <w:t>Preparation of workshop presentations, notes and handouts</w:t>
      </w:r>
    </w:p>
    <w:p w:rsidR="00CE6366" w:rsidRDefault="00DD3E2B" w:rsidP="00CE6366">
      <w:pPr>
        <w:pStyle w:val="ListParagraph"/>
        <w:numPr>
          <w:ilvl w:val="0"/>
          <w:numId w:val="19"/>
        </w:numPr>
        <w:spacing w:after="0" w:line="360" w:lineRule="auto"/>
        <w:rPr>
          <w:rFonts w:ascii="Arial" w:hAnsi="Arial" w:cs="Arial"/>
        </w:rPr>
      </w:pPr>
      <w:r>
        <w:rPr>
          <w:rFonts w:ascii="Arial" w:hAnsi="Arial" w:cs="Arial"/>
        </w:rPr>
        <w:t>Use of up to date industry trends/ information.</w:t>
      </w:r>
    </w:p>
    <w:p w:rsidR="00DD3E2B" w:rsidRDefault="00C96D59" w:rsidP="00CE6366">
      <w:pPr>
        <w:pStyle w:val="ListParagraph"/>
        <w:numPr>
          <w:ilvl w:val="0"/>
          <w:numId w:val="19"/>
        </w:numPr>
        <w:spacing w:after="0" w:line="360" w:lineRule="auto"/>
        <w:rPr>
          <w:rFonts w:ascii="Arial" w:hAnsi="Arial" w:cs="Arial"/>
        </w:rPr>
      </w:pPr>
      <w:r>
        <w:rPr>
          <w:rFonts w:ascii="Arial" w:hAnsi="Arial" w:cs="Arial"/>
        </w:rPr>
        <w:t>Post pitch written feedback to the Business Growth Hub with a view to ongoing support.</w:t>
      </w:r>
    </w:p>
    <w:p w:rsidR="00C96D59" w:rsidRDefault="00C96D59" w:rsidP="00CE6366">
      <w:pPr>
        <w:pStyle w:val="ListParagraph"/>
        <w:numPr>
          <w:ilvl w:val="0"/>
          <w:numId w:val="19"/>
        </w:numPr>
        <w:spacing w:after="0" w:line="360" w:lineRule="auto"/>
        <w:rPr>
          <w:rFonts w:ascii="Arial" w:hAnsi="Arial" w:cs="Arial"/>
        </w:rPr>
      </w:pPr>
      <w:r>
        <w:rPr>
          <w:rFonts w:ascii="Arial" w:hAnsi="Arial" w:cs="Arial"/>
        </w:rPr>
        <w:t>Work with the Business Growth Hub to fine tune presentations post award of contract.</w:t>
      </w:r>
    </w:p>
    <w:p w:rsidR="00C96D59" w:rsidRPr="00CE6366" w:rsidRDefault="00C96D59" w:rsidP="00CE6366">
      <w:pPr>
        <w:pStyle w:val="ListParagraph"/>
        <w:numPr>
          <w:ilvl w:val="0"/>
          <w:numId w:val="19"/>
        </w:numPr>
        <w:spacing w:after="0" w:line="360" w:lineRule="auto"/>
        <w:rPr>
          <w:rFonts w:ascii="Arial" w:hAnsi="Arial" w:cs="Arial"/>
        </w:rPr>
      </w:pPr>
      <w:r>
        <w:rPr>
          <w:rFonts w:ascii="Arial" w:hAnsi="Arial" w:cs="Arial"/>
        </w:rPr>
        <w:t>Be available for and contribute to PR requests from the Business Growth Hub.</w:t>
      </w:r>
    </w:p>
    <w:p w:rsidR="00CE6366" w:rsidRPr="0002222C" w:rsidRDefault="00CE6366" w:rsidP="00C71BBE">
      <w:pPr>
        <w:spacing w:after="0" w:line="360" w:lineRule="auto"/>
        <w:rPr>
          <w:rFonts w:ascii="Arial" w:hAnsi="Arial" w:cs="Arial"/>
        </w:rPr>
      </w:pPr>
    </w:p>
    <w:p w:rsidR="00E61F33" w:rsidRPr="0002222C" w:rsidRDefault="00E61F33" w:rsidP="00C71BBE">
      <w:pPr>
        <w:pBdr>
          <w:bottom w:val="single" w:sz="4" w:space="1" w:color="auto"/>
        </w:pBdr>
        <w:spacing w:after="0" w:line="360" w:lineRule="auto"/>
        <w:rPr>
          <w:rFonts w:ascii="Arial" w:hAnsi="Arial" w:cs="Arial"/>
          <w:b/>
          <w:bCs/>
        </w:rPr>
      </w:pPr>
      <w:r w:rsidRPr="0002222C">
        <w:rPr>
          <w:rFonts w:ascii="Arial" w:hAnsi="Arial" w:cs="Arial"/>
          <w:b/>
          <w:bCs/>
        </w:rPr>
        <w:t>Application</w:t>
      </w:r>
    </w:p>
    <w:p w:rsidR="0074009C" w:rsidRPr="0002222C" w:rsidRDefault="00987A46" w:rsidP="00C71BBE">
      <w:pPr>
        <w:spacing w:after="0" w:line="360" w:lineRule="auto"/>
        <w:rPr>
          <w:rFonts w:ascii="Arial" w:hAnsi="Arial" w:cs="Arial"/>
        </w:rPr>
      </w:pPr>
      <w:r w:rsidRPr="0002222C">
        <w:rPr>
          <w:rFonts w:ascii="Arial" w:hAnsi="Arial" w:cs="Arial"/>
        </w:rPr>
        <w:t>Please complete the attached Quotation Form</w:t>
      </w:r>
      <w:r w:rsidR="00872ACA" w:rsidRPr="0002222C">
        <w:rPr>
          <w:rFonts w:ascii="Arial" w:hAnsi="Arial" w:cs="Arial"/>
        </w:rPr>
        <w:t xml:space="preserve"> including any appendices.</w:t>
      </w:r>
    </w:p>
    <w:p w:rsidR="0002222C" w:rsidRDefault="0002222C" w:rsidP="00C71BBE">
      <w:pPr>
        <w:pBdr>
          <w:bottom w:val="single" w:sz="4" w:space="1" w:color="auto"/>
        </w:pBdr>
        <w:spacing w:after="0" w:line="360" w:lineRule="auto"/>
        <w:rPr>
          <w:rFonts w:ascii="Arial" w:hAnsi="Arial" w:cs="Arial"/>
          <w:b/>
          <w:bCs/>
        </w:rPr>
      </w:pPr>
    </w:p>
    <w:p w:rsidR="00E61F33" w:rsidRPr="0002222C" w:rsidRDefault="00E61F33" w:rsidP="00C71BBE">
      <w:pPr>
        <w:pBdr>
          <w:bottom w:val="single" w:sz="4" w:space="1" w:color="auto"/>
        </w:pBdr>
        <w:spacing w:after="0" w:line="360" w:lineRule="auto"/>
        <w:rPr>
          <w:rFonts w:ascii="Arial" w:hAnsi="Arial" w:cs="Arial"/>
          <w:b/>
          <w:bCs/>
        </w:rPr>
      </w:pPr>
      <w:r w:rsidRPr="0002222C">
        <w:rPr>
          <w:rFonts w:ascii="Arial" w:hAnsi="Arial" w:cs="Arial"/>
          <w:b/>
          <w:bCs/>
        </w:rPr>
        <w:t xml:space="preserve">Evaluation </w:t>
      </w:r>
    </w:p>
    <w:p w:rsidR="00E61F33" w:rsidRPr="0002222C" w:rsidRDefault="00E61F33" w:rsidP="00C71BBE">
      <w:pPr>
        <w:tabs>
          <w:tab w:val="left" w:pos="5387"/>
        </w:tabs>
        <w:spacing w:after="0" w:line="360" w:lineRule="auto"/>
        <w:rPr>
          <w:rFonts w:ascii="Arial" w:hAnsi="Arial" w:cs="Arial"/>
        </w:rPr>
      </w:pPr>
      <w:r w:rsidRPr="0002222C">
        <w:rPr>
          <w:rFonts w:ascii="Arial" w:hAnsi="Arial" w:cs="Arial"/>
        </w:rPr>
        <w:t xml:space="preserve">Only </w:t>
      </w:r>
      <w:r w:rsidR="00CF3B35" w:rsidRPr="0002222C">
        <w:rPr>
          <w:rFonts w:ascii="Arial" w:hAnsi="Arial" w:cs="Arial"/>
        </w:rPr>
        <w:t>Q</w:t>
      </w:r>
      <w:r w:rsidR="0095272D" w:rsidRPr="0002222C">
        <w:rPr>
          <w:rFonts w:ascii="Arial" w:hAnsi="Arial" w:cs="Arial"/>
        </w:rPr>
        <w:t xml:space="preserve">uotation </w:t>
      </w:r>
      <w:r w:rsidR="00CF3B35" w:rsidRPr="0002222C">
        <w:rPr>
          <w:rFonts w:ascii="Arial" w:hAnsi="Arial" w:cs="Arial"/>
        </w:rPr>
        <w:t>F</w:t>
      </w:r>
      <w:r w:rsidR="0095272D" w:rsidRPr="0002222C">
        <w:rPr>
          <w:rFonts w:ascii="Arial" w:hAnsi="Arial" w:cs="Arial"/>
        </w:rPr>
        <w:t>orms</w:t>
      </w:r>
      <w:r w:rsidR="00586DD1" w:rsidRPr="0002222C">
        <w:rPr>
          <w:rFonts w:ascii="Arial" w:hAnsi="Arial" w:cs="Arial"/>
        </w:rPr>
        <w:t xml:space="preserve"> completed</w:t>
      </w:r>
      <w:r w:rsidRPr="0002222C">
        <w:rPr>
          <w:rFonts w:ascii="Arial" w:hAnsi="Arial" w:cs="Arial"/>
        </w:rPr>
        <w:t xml:space="preserve"> in full </w:t>
      </w:r>
      <w:r w:rsidR="00872ACA" w:rsidRPr="0002222C">
        <w:rPr>
          <w:rFonts w:ascii="Arial" w:hAnsi="Arial" w:cs="Arial"/>
        </w:rPr>
        <w:t xml:space="preserve">with the requested appendices </w:t>
      </w:r>
      <w:r w:rsidRPr="0002222C">
        <w:rPr>
          <w:rFonts w:ascii="Arial" w:hAnsi="Arial" w:cs="Arial"/>
        </w:rPr>
        <w:t>will</w:t>
      </w:r>
      <w:r w:rsidR="00837193" w:rsidRPr="0002222C">
        <w:rPr>
          <w:rFonts w:ascii="Arial" w:hAnsi="Arial" w:cs="Arial"/>
        </w:rPr>
        <w:t xml:space="preserve"> be considered. </w:t>
      </w:r>
    </w:p>
    <w:p w:rsidR="00E61F33" w:rsidRDefault="00E61F33" w:rsidP="00C71BBE">
      <w:pPr>
        <w:spacing w:after="0" w:line="360" w:lineRule="auto"/>
        <w:rPr>
          <w:rFonts w:ascii="Arial" w:hAnsi="Arial" w:cs="Arial"/>
        </w:rPr>
      </w:pPr>
      <w:r w:rsidRPr="0002222C">
        <w:rPr>
          <w:rFonts w:ascii="Arial" w:hAnsi="Arial" w:cs="Arial"/>
        </w:rPr>
        <w:t>Quotations will be assessed on the following criteria</w:t>
      </w:r>
      <w:r w:rsidR="00872ACA" w:rsidRPr="0002222C">
        <w:rPr>
          <w:rFonts w:ascii="Arial" w:hAnsi="Arial" w:cs="Arial"/>
        </w:rPr>
        <w:t>:</w:t>
      </w:r>
      <w:r w:rsidR="00837193" w:rsidRPr="0002222C">
        <w:rPr>
          <w:rFonts w:ascii="Arial" w:hAnsi="Arial" w:cs="Arial"/>
        </w:rPr>
        <w:t xml:space="preserve"> </w:t>
      </w:r>
    </w:p>
    <w:p w:rsidR="00ED31E7" w:rsidRPr="00962211" w:rsidRDefault="00ED31E7" w:rsidP="00ED31E7">
      <w:pPr>
        <w:pStyle w:val="ListParagraph"/>
        <w:numPr>
          <w:ilvl w:val="0"/>
          <w:numId w:val="4"/>
        </w:numPr>
        <w:spacing w:after="0" w:line="360" w:lineRule="auto"/>
        <w:contextualSpacing w:val="0"/>
        <w:rPr>
          <w:rFonts w:ascii="Arial" w:hAnsi="Arial" w:cs="Arial"/>
        </w:rPr>
      </w:pPr>
      <w:r w:rsidRPr="00962211">
        <w:rPr>
          <w:rFonts w:ascii="Arial" w:hAnsi="Arial" w:cs="Arial"/>
        </w:rPr>
        <w:t>Overall value for money (50%).</w:t>
      </w:r>
    </w:p>
    <w:p w:rsidR="00ED31E7" w:rsidRPr="00962211" w:rsidRDefault="00ED31E7" w:rsidP="00ED31E7">
      <w:pPr>
        <w:pStyle w:val="ListParagraph"/>
        <w:numPr>
          <w:ilvl w:val="0"/>
          <w:numId w:val="4"/>
        </w:numPr>
        <w:spacing w:after="0" w:line="360" w:lineRule="auto"/>
        <w:contextualSpacing w:val="0"/>
        <w:rPr>
          <w:rFonts w:ascii="Arial" w:hAnsi="Arial" w:cs="Arial"/>
        </w:rPr>
      </w:pPr>
      <w:r w:rsidRPr="00962211">
        <w:rPr>
          <w:rFonts w:ascii="Arial" w:hAnsi="Arial" w:cs="Arial"/>
        </w:rPr>
        <w:t>Skills and ability of the proposed personnel to carry out the requirements set out in the objectives and brief above (50%).</w:t>
      </w:r>
    </w:p>
    <w:p w:rsidR="00ED31E7" w:rsidRDefault="00ED31E7" w:rsidP="00C71BBE">
      <w:pPr>
        <w:pBdr>
          <w:bottom w:val="single" w:sz="4" w:space="1" w:color="auto"/>
        </w:pBdr>
        <w:autoSpaceDE w:val="0"/>
        <w:autoSpaceDN w:val="0"/>
        <w:adjustRightInd w:val="0"/>
        <w:spacing w:after="0" w:line="360" w:lineRule="auto"/>
        <w:rPr>
          <w:rFonts w:ascii="Arial" w:hAnsi="Arial" w:cs="Arial"/>
          <w:b/>
          <w:bCs/>
        </w:rPr>
      </w:pPr>
    </w:p>
    <w:p w:rsidR="00E61F33" w:rsidRPr="0002222C" w:rsidRDefault="00C72B4E" w:rsidP="00C71BBE">
      <w:pPr>
        <w:pBdr>
          <w:bottom w:val="single" w:sz="4" w:space="1" w:color="auto"/>
        </w:pBdr>
        <w:autoSpaceDE w:val="0"/>
        <w:autoSpaceDN w:val="0"/>
        <w:adjustRightInd w:val="0"/>
        <w:spacing w:after="0" w:line="360" w:lineRule="auto"/>
        <w:rPr>
          <w:rFonts w:ascii="Arial" w:hAnsi="Arial" w:cs="Arial"/>
          <w:b/>
          <w:bCs/>
        </w:rPr>
      </w:pPr>
      <w:r w:rsidRPr="0002222C">
        <w:rPr>
          <w:rFonts w:ascii="Arial" w:hAnsi="Arial" w:cs="Arial"/>
          <w:b/>
          <w:bCs/>
        </w:rPr>
        <w:t xml:space="preserve">Quotation </w:t>
      </w:r>
      <w:r w:rsidR="00E61F33" w:rsidRPr="0002222C">
        <w:rPr>
          <w:rFonts w:ascii="Arial" w:hAnsi="Arial" w:cs="Arial"/>
          <w:b/>
          <w:bCs/>
        </w:rPr>
        <w:t>submission requirements – format and delivery</w:t>
      </w:r>
    </w:p>
    <w:p w:rsidR="00ED31E7" w:rsidRDefault="00ED31E7" w:rsidP="00ED31E7">
      <w:pPr>
        <w:autoSpaceDE w:val="0"/>
        <w:autoSpaceDN w:val="0"/>
        <w:adjustRightInd w:val="0"/>
        <w:spacing w:after="0" w:line="360" w:lineRule="auto"/>
        <w:rPr>
          <w:rFonts w:ascii="Arial" w:hAnsi="Arial" w:cs="Arial"/>
        </w:rPr>
      </w:pPr>
    </w:p>
    <w:p w:rsidR="00ED31E7" w:rsidRPr="0002222C" w:rsidRDefault="00ED31E7" w:rsidP="00ED31E7">
      <w:pPr>
        <w:autoSpaceDE w:val="0"/>
        <w:autoSpaceDN w:val="0"/>
        <w:adjustRightInd w:val="0"/>
        <w:spacing w:after="0" w:line="360" w:lineRule="auto"/>
        <w:rPr>
          <w:rFonts w:ascii="Arial" w:hAnsi="Arial" w:cs="Arial"/>
          <w:b/>
        </w:rPr>
      </w:pPr>
      <w:r w:rsidRPr="0002222C">
        <w:rPr>
          <w:rFonts w:ascii="Arial" w:hAnsi="Arial" w:cs="Arial"/>
        </w:rPr>
        <w:lastRenderedPageBreak/>
        <w:t xml:space="preserve">Please return </w:t>
      </w:r>
      <w:r w:rsidR="00D138AD">
        <w:rPr>
          <w:rFonts w:ascii="Arial" w:hAnsi="Arial" w:cs="Arial"/>
        </w:rPr>
        <w:t>by email</w:t>
      </w:r>
      <w:r w:rsidRPr="0002222C">
        <w:rPr>
          <w:rFonts w:ascii="Arial" w:hAnsi="Arial" w:cs="Arial"/>
        </w:rPr>
        <w:t xml:space="preserve"> your completed quotation form and additional information by </w:t>
      </w:r>
      <w:r>
        <w:rPr>
          <w:rFonts w:ascii="Arial" w:hAnsi="Arial" w:cs="Arial"/>
        </w:rPr>
        <w:t xml:space="preserve">5pm on Friday </w:t>
      </w:r>
      <w:r w:rsidR="00CE6366">
        <w:rPr>
          <w:rFonts w:ascii="Arial" w:hAnsi="Arial" w:cs="Arial"/>
        </w:rPr>
        <w:t>27</w:t>
      </w:r>
      <w:r w:rsidR="00CE6366" w:rsidRPr="00CE6366">
        <w:rPr>
          <w:rFonts w:ascii="Arial" w:hAnsi="Arial" w:cs="Arial"/>
          <w:vertAlign w:val="superscript"/>
        </w:rPr>
        <w:t>th</w:t>
      </w:r>
      <w:r w:rsidR="00CE6366">
        <w:rPr>
          <w:rFonts w:ascii="Arial" w:hAnsi="Arial" w:cs="Arial"/>
        </w:rPr>
        <w:t xml:space="preserve"> July 2017</w:t>
      </w:r>
      <w:r>
        <w:rPr>
          <w:rFonts w:ascii="Arial" w:hAnsi="Arial" w:cs="Arial"/>
        </w:rPr>
        <w:t xml:space="preserve"> to</w:t>
      </w:r>
      <w:r w:rsidRPr="0002222C">
        <w:rPr>
          <w:rFonts w:ascii="Arial" w:hAnsi="Arial" w:cs="Arial"/>
        </w:rPr>
        <w:t>:</w:t>
      </w:r>
      <w:r w:rsidR="00D138AD">
        <w:rPr>
          <w:rFonts w:ascii="Arial" w:hAnsi="Arial" w:cs="Arial"/>
        </w:rPr>
        <w:t xml:space="preserve"> </w:t>
      </w:r>
      <w:hyperlink r:id="rId12" w:history="1">
        <w:r w:rsidR="00D138AD" w:rsidRPr="00D138AD">
          <w:rPr>
            <w:rStyle w:val="Hyperlink"/>
            <w:rFonts w:cs="Arial"/>
            <w:b/>
            <w:color w:val="1F497D" w:themeColor="text2"/>
          </w:rPr>
          <w:t>hilary.centeleghe@businessgrowthhub.com</w:t>
        </w:r>
      </w:hyperlink>
    </w:p>
    <w:p w:rsidR="00ED31E7" w:rsidRDefault="00ED31E7" w:rsidP="00ED31E7">
      <w:pPr>
        <w:autoSpaceDE w:val="0"/>
        <w:autoSpaceDN w:val="0"/>
        <w:adjustRightInd w:val="0"/>
        <w:spacing w:after="0" w:line="360" w:lineRule="auto"/>
        <w:rPr>
          <w:rFonts w:ascii="Arial" w:hAnsi="Arial" w:cs="Arial"/>
        </w:rPr>
      </w:pPr>
    </w:p>
    <w:p w:rsidR="00ED31E7" w:rsidRDefault="00ED31E7" w:rsidP="00ED31E7">
      <w:pPr>
        <w:autoSpaceDE w:val="0"/>
        <w:autoSpaceDN w:val="0"/>
        <w:adjustRightInd w:val="0"/>
        <w:spacing w:after="0" w:line="360" w:lineRule="auto"/>
        <w:rPr>
          <w:rFonts w:ascii="Arial" w:hAnsi="Arial" w:cs="Arial"/>
        </w:rPr>
      </w:pPr>
      <w:r>
        <w:rPr>
          <w:rFonts w:ascii="Arial" w:hAnsi="Arial" w:cs="Arial"/>
        </w:rPr>
        <w:t>Hilary Centeleghe</w:t>
      </w:r>
    </w:p>
    <w:p w:rsidR="00ED31E7" w:rsidRDefault="00ED31E7" w:rsidP="00ED31E7">
      <w:pPr>
        <w:autoSpaceDE w:val="0"/>
        <w:autoSpaceDN w:val="0"/>
        <w:adjustRightInd w:val="0"/>
        <w:spacing w:after="0" w:line="360" w:lineRule="auto"/>
        <w:rPr>
          <w:rFonts w:ascii="Arial" w:hAnsi="Arial" w:cs="Arial"/>
        </w:rPr>
      </w:pPr>
      <w:r>
        <w:rPr>
          <w:rFonts w:ascii="Arial" w:hAnsi="Arial" w:cs="Arial"/>
        </w:rPr>
        <w:t>Senior Growth Manager</w:t>
      </w:r>
    </w:p>
    <w:p w:rsidR="00ED31E7" w:rsidRPr="00C50FE4" w:rsidRDefault="00ED31E7" w:rsidP="00ED31E7">
      <w:pPr>
        <w:autoSpaceDE w:val="0"/>
        <w:autoSpaceDN w:val="0"/>
        <w:adjustRightInd w:val="0"/>
        <w:spacing w:after="0" w:line="360" w:lineRule="auto"/>
        <w:rPr>
          <w:rFonts w:ascii="Arial" w:hAnsi="Arial" w:cs="Arial"/>
          <w:highlight w:val="yellow"/>
        </w:rPr>
      </w:pPr>
      <w:r>
        <w:rPr>
          <w:rFonts w:ascii="Arial" w:hAnsi="Arial" w:cs="Arial"/>
        </w:rPr>
        <w:t>Business Growth Hub</w:t>
      </w:r>
    </w:p>
    <w:p w:rsidR="00ED31E7" w:rsidRDefault="00ED31E7" w:rsidP="00ED31E7">
      <w:pPr>
        <w:autoSpaceDE w:val="0"/>
        <w:autoSpaceDN w:val="0"/>
        <w:adjustRightInd w:val="0"/>
        <w:spacing w:after="0" w:line="360" w:lineRule="auto"/>
        <w:rPr>
          <w:rFonts w:ascii="Arial" w:hAnsi="Arial" w:cs="Arial"/>
        </w:rPr>
      </w:pPr>
      <w:r>
        <w:rPr>
          <w:rFonts w:ascii="Arial" w:hAnsi="Arial" w:cs="Arial"/>
        </w:rPr>
        <w:t>Churchgate House</w:t>
      </w:r>
    </w:p>
    <w:p w:rsidR="00ED31E7" w:rsidRDefault="00ED31E7" w:rsidP="00ED31E7">
      <w:pPr>
        <w:autoSpaceDE w:val="0"/>
        <w:autoSpaceDN w:val="0"/>
        <w:adjustRightInd w:val="0"/>
        <w:spacing w:after="0" w:line="360" w:lineRule="auto"/>
        <w:rPr>
          <w:rFonts w:ascii="Arial" w:hAnsi="Arial" w:cs="Arial"/>
        </w:rPr>
      </w:pPr>
      <w:r>
        <w:rPr>
          <w:rFonts w:ascii="Arial" w:hAnsi="Arial" w:cs="Arial"/>
        </w:rPr>
        <w:t>56 Oxford Street</w:t>
      </w:r>
    </w:p>
    <w:p w:rsidR="00ED31E7" w:rsidRPr="0002222C" w:rsidRDefault="00ED31E7" w:rsidP="00ED31E7">
      <w:pPr>
        <w:autoSpaceDE w:val="0"/>
        <w:autoSpaceDN w:val="0"/>
        <w:adjustRightInd w:val="0"/>
        <w:spacing w:after="0" w:line="360" w:lineRule="auto"/>
        <w:rPr>
          <w:rFonts w:ascii="Arial" w:hAnsi="Arial" w:cs="Arial"/>
        </w:rPr>
      </w:pPr>
      <w:r>
        <w:rPr>
          <w:rFonts w:ascii="Arial" w:hAnsi="Arial" w:cs="Arial"/>
        </w:rPr>
        <w:t>Manchester M1 6EU</w:t>
      </w:r>
    </w:p>
    <w:p w:rsidR="00C72B4E" w:rsidRPr="0002222C" w:rsidRDefault="00C72B4E" w:rsidP="00C71BBE">
      <w:pPr>
        <w:autoSpaceDE w:val="0"/>
        <w:autoSpaceDN w:val="0"/>
        <w:adjustRightInd w:val="0"/>
        <w:spacing w:after="0" w:line="360" w:lineRule="auto"/>
        <w:rPr>
          <w:rFonts w:ascii="Arial" w:hAnsi="Arial" w:cs="Arial"/>
        </w:rPr>
      </w:pPr>
    </w:p>
    <w:p w:rsidR="00C72B4E" w:rsidRPr="0002222C" w:rsidRDefault="00C72B4E" w:rsidP="00C71BBE">
      <w:pPr>
        <w:autoSpaceDE w:val="0"/>
        <w:autoSpaceDN w:val="0"/>
        <w:adjustRightInd w:val="0"/>
        <w:spacing w:after="0" w:line="360" w:lineRule="auto"/>
        <w:rPr>
          <w:rFonts w:ascii="Arial" w:hAnsi="Arial" w:cs="Arial"/>
        </w:rPr>
      </w:pPr>
    </w:p>
    <w:p w:rsidR="007C66A9" w:rsidRPr="00FF2152" w:rsidRDefault="00872ACA" w:rsidP="00C71BBE">
      <w:pPr>
        <w:pBdr>
          <w:bottom w:val="single" w:sz="4" w:space="1" w:color="auto"/>
        </w:pBdr>
        <w:autoSpaceDE w:val="0"/>
        <w:autoSpaceDN w:val="0"/>
        <w:adjustRightInd w:val="0"/>
        <w:spacing w:after="0" w:line="360" w:lineRule="auto"/>
        <w:rPr>
          <w:rFonts w:ascii="Arial" w:hAnsi="Arial" w:cs="Arial"/>
          <w:b/>
          <w:color w:val="399B00"/>
        </w:rPr>
      </w:pPr>
      <w:r>
        <w:rPr>
          <w:rFonts w:ascii="Arial" w:hAnsi="Arial" w:cs="Arial"/>
          <w:color w:val="000000"/>
        </w:rPr>
        <w:t>Please submit any questions to</w:t>
      </w:r>
      <w:r w:rsidRPr="00D138AD">
        <w:rPr>
          <w:rFonts w:ascii="Arial" w:hAnsi="Arial" w:cs="Arial"/>
          <w:color w:val="1F497D" w:themeColor="text2"/>
        </w:rPr>
        <w:t xml:space="preserve"> </w:t>
      </w:r>
      <w:hyperlink r:id="rId13" w:history="1">
        <w:r w:rsidR="00645B83" w:rsidRPr="00D138AD">
          <w:rPr>
            <w:rStyle w:val="Hyperlink"/>
            <w:rFonts w:ascii="Arial" w:hAnsi="Arial" w:cs="Arial"/>
            <w:b/>
            <w:color w:val="1F497D" w:themeColor="text2"/>
          </w:rPr>
          <w:t>hilary.centeleghe@businessgrowthhub.com</w:t>
        </w:r>
      </w:hyperlink>
      <w:r w:rsidR="00645B83">
        <w:rPr>
          <w:rFonts w:ascii="Arial" w:hAnsi="Arial" w:cs="Arial"/>
          <w:b/>
          <w:color w:val="000000"/>
        </w:rPr>
        <w:t xml:space="preserve"> </w:t>
      </w:r>
    </w:p>
    <w:p w:rsidR="00DB47DC" w:rsidRPr="00325D8D" w:rsidRDefault="00DB47DC" w:rsidP="00C71BBE">
      <w:pPr>
        <w:pBdr>
          <w:bottom w:val="single" w:sz="4" w:space="1" w:color="auto"/>
        </w:pBdr>
        <w:autoSpaceDE w:val="0"/>
        <w:autoSpaceDN w:val="0"/>
        <w:adjustRightInd w:val="0"/>
        <w:spacing w:after="0" w:line="360" w:lineRule="auto"/>
        <w:rPr>
          <w:rFonts w:ascii="Arial" w:hAnsi="Arial" w:cs="Arial"/>
          <w:b/>
          <w:bCs/>
          <w:color w:val="000000"/>
        </w:rPr>
      </w:pPr>
      <w:r w:rsidRPr="00325D8D">
        <w:rPr>
          <w:rFonts w:ascii="Arial" w:hAnsi="Arial" w:cs="Arial"/>
          <w:b/>
          <w:bCs/>
          <w:color w:val="000000"/>
        </w:rPr>
        <w:t>Timescales</w:t>
      </w:r>
    </w:p>
    <w:p w:rsidR="00DB47DC" w:rsidRDefault="00DB47DC" w:rsidP="00C71BBE">
      <w:pPr>
        <w:autoSpaceDE w:val="0"/>
        <w:autoSpaceDN w:val="0"/>
        <w:adjustRightInd w:val="0"/>
        <w:spacing w:after="0" w:line="360" w:lineRule="auto"/>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240"/>
      </w:tblGrid>
      <w:tr w:rsidR="00430495" w:rsidRPr="00430495" w:rsidTr="00430495">
        <w:trPr>
          <w:trHeight w:val="266"/>
        </w:trPr>
        <w:tc>
          <w:tcPr>
            <w:tcW w:w="5400" w:type="dxa"/>
          </w:tcPr>
          <w:p w:rsidR="00430495" w:rsidRPr="00430495" w:rsidRDefault="00430495" w:rsidP="002E0F4E">
            <w:pPr>
              <w:spacing w:after="0" w:line="360" w:lineRule="auto"/>
              <w:rPr>
                <w:rFonts w:ascii="Arial" w:hAnsi="Arial" w:cs="Arial"/>
              </w:rPr>
            </w:pPr>
            <w:r w:rsidRPr="00430495">
              <w:rPr>
                <w:rFonts w:ascii="Arial" w:hAnsi="Arial" w:cs="Arial"/>
              </w:rPr>
              <w:t xml:space="preserve">Invitation to </w:t>
            </w:r>
            <w:r w:rsidR="00245F31">
              <w:rPr>
                <w:rFonts w:ascii="Arial" w:hAnsi="Arial" w:cs="Arial"/>
              </w:rPr>
              <w:t xml:space="preserve">quote </w:t>
            </w:r>
            <w:r w:rsidR="002E0F4E">
              <w:rPr>
                <w:rFonts w:ascii="Arial" w:hAnsi="Arial" w:cs="Arial"/>
              </w:rPr>
              <w:t>(website)</w:t>
            </w:r>
          </w:p>
        </w:tc>
        <w:tc>
          <w:tcPr>
            <w:tcW w:w="3240" w:type="dxa"/>
          </w:tcPr>
          <w:p w:rsidR="00430495" w:rsidRPr="00BB562F" w:rsidRDefault="002E0F4E" w:rsidP="00147F1D">
            <w:pPr>
              <w:spacing w:after="0" w:line="360" w:lineRule="auto"/>
              <w:rPr>
                <w:rFonts w:ascii="Arial" w:hAnsi="Arial" w:cs="Arial"/>
              </w:rPr>
            </w:pPr>
            <w:r>
              <w:rPr>
                <w:rFonts w:ascii="Arial" w:hAnsi="Arial" w:cs="Arial"/>
              </w:rPr>
              <w:t>June 2017</w:t>
            </w:r>
          </w:p>
        </w:tc>
      </w:tr>
      <w:tr w:rsidR="00430495" w:rsidRPr="00430495" w:rsidTr="00430495">
        <w:trPr>
          <w:trHeight w:val="330"/>
        </w:trPr>
        <w:tc>
          <w:tcPr>
            <w:tcW w:w="5400" w:type="dxa"/>
          </w:tcPr>
          <w:p w:rsidR="00430495" w:rsidRPr="00430495" w:rsidRDefault="00872ACA" w:rsidP="00C71BBE">
            <w:pPr>
              <w:spacing w:after="0" w:line="360" w:lineRule="auto"/>
              <w:rPr>
                <w:rFonts w:ascii="Arial" w:hAnsi="Arial" w:cs="Arial"/>
              </w:rPr>
            </w:pPr>
            <w:r>
              <w:rPr>
                <w:rFonts w:ascii="Arial" w:hAnsi="Arial" w:cs="Arial"/>
              </w:rPr>
              <w:t xml:space="preserve">Closing date for </w:t>
            </w:r>
            <w:r w:rsidR="00430495" w:rsidRPr="00430495">
              <w:rPr>
                <w:rFonts w:ascii="Arial" w:hAnsi="Arial" w:cs="Arial"/>
              </w:rPr>
              <w:t>submissions</w:t>
            </w:r>
          </w:p>
        </w:tc>
        <w:tc>
          <w:tcPr>
            <w:tcW w:w="3240" w:type="dxa"/>
          </w:tcPr>
          <w:p w:rsidR="00430495" w:rsidRPr="003421B8" w:rsidRDefault="00CE6366" w:rsidP="00C71BBE">
            <w:pPr>
              <w:spacing w:after="0" w:line="360" w:lineRule="auto"/>
              <w:rPr>
                <w:rFonts w:ascii="Arial" w:hAnsi="Arial" w:cs="Arial"/>
              </w:rPr>
            </w:pPr>
            <w:r w:rsidRPr="003421B8">
              <w:rPr>
                <w:rFonts w:ascii="Arial" w:hAnsi="Arial" w:cs="Arial"/>
              </w:rPr>
              <w:t>27</w:t>
            </w:r>
            <w:r w:rsidRPr="003421B8">
              <w:rPr>
                <w:rFonts w:ascii="Arial" w:hAnsi="Arial" w:cs="Arial"/>
                <w:vertAlign w:val="superscript"/>
              </w:rPr>
              <w:t>th</w:t>
            </w:r>
            <w:r w:rsidRPr="003421B8">
              <w:rPr>
                <w:rFonts w:ascii="Arial" w:hAnsi="Arial" w:cs="Arial"/>
              </w:rPr>
              <w:t xml:space="preserve"> July 2017</w:t>
            </w:r>
          </w:p>
        </w:tc>
      </w:tr>
      <w:tr w:rsidR="00430495" w:rsidRPr="00430495" w:rsidTr="00CE74DF">
        <w:tc>
          <w:tcPr>
            <w:tcW w:w="5400" w:type="dxa"/>
          </w:tcPr>
          <w:p w:rsidR="00430495" w:rsidRPr="00430495" w:rsidRDefault="00872ACA" w:rsidP="00C71BBE">
            <w:pPr>
              <w:spacing w:after="0" w:line="360" w:lineRule="auto"/>
              <w:rPr>
                <w:rFonts w:ascii="Arial" w:hAnsi="Arial" w:cs="Arial"/>
              </w:rPr>
            </w:pPr>
            <w:r>
              <w:rPr>
                <w:rFonts w:ascii="Arial" w:hAnsi="Arial" w:cs="Arial"/>
              </w:rPr>
              <w:t xml:space="preserve">Contract awarded </w:t>
            </w:r>
          </w:p>
        </w:tc>
        <w:tc>
          <w:tcPr>
            <w:tcW w:w="3240" w:type="dxa"/>
          </w:tcPr>
          <w:p w:rsidR="00430495" w:rsidRPr="003421B8" w:rsidRDefault="003421B8" w:rsidP="00C71BBE">
            <w:pPr>
              <w:spacing w:after="0" w:line="360" w:lineRule="auto"/>
              <w:rPr>
                <w:rFonts w:ascii="Arial" w:hAnsi="Arial" w:cs="Arial"/>
              </w:rPr>
            </w:pPr>
            <w:r w:rsidRPr="003421B8">
              <w:rPr>
                <w:rFonts w:ascii="Arial" w:hAnsi="Arial" w:cs="Arial"/>
              </w:rPr>
              <w:t>1</w:t>
            </w:r>
            <w:r w:rsidRPr="003421B8">
              <w:rPr>
                <w:rFonts w:ascii="Arial" w:hAnsi="Arial" w:cs="Arial"/>
                <w:vertAlign w:val="superscript"/>
              </w:rPr>
              <w:t>st</w:t>
            </w:r>
            <w:r w:rsidRPr="003421B8">
              <w:rPr>
                <w:rFonts w:ascii="Arial" w:hAnsi="Arial" w:cs="Arial"/>
              </w:rPr>
              <w:t xml:space="preserve"> October 2017</w:t>
            </w:r>
          </w:p>
        </w:tc>
      </w:tr>
    </w:tbl>
    <w:p w:rsidR="0095272D" w:rsidRDefault="0095272D" w:rsidP="00C71BBE">
      <w:pPr>
        <w:autoSpaceDE w:val="0"/>
        <w:autoSpaceDN w:val="0"/>
        <w:adjustRightInd w:val="0"/>
        <w:spacing w:after="0" w:line="360" w:lineRule="auto"/>
        <w:rPr>
          <w:rFonts w:ascii="Arial" w:hAnsi="Arial" w:cs="Arial"/>
          <w:b/>
          <w:bCs/>
          <w:color w:val="000000"/>
        </w:rPr>
      </w:pPr>
    </w:p>
    <w:p w:rsidR="00645B83" w:rsidRDefault="00645B83" w:rsidP="00645B83">
      <w:pPr>
        <w:pStyle w:val="ListParagraph"/>
        <w:numPr>
          <w:ilvl w:val="0"/>
          <w:numId w:val="4"/>
        </w:numPr>
        <w:autoSpaceDE w:val="0"/>
        <w:autoSpaceDN w:val="0"/>
        <w:adjustRightInd w:val="0"/>
        <w:spacing w:after="0" w:line="360" w:lineRule="auto"/>
        <w:rPr>
          <w:rFonts w:ascii="Arial" w:hAnsi="Arial" w:cs="Arial"/>
          <w:b/>
          <w:bCs/>
          <w:color w:val="000000"/>
        </w:rPr>
      </w:pPr>
      <w:r>
        <w:rPr>
          <w:rFonts w:ascii="Arial" w:hAnsi="Arial" w:cs="Arial"/>
          <w:b/>
          <w:bCs/>
          <w:color w:val="000000"/>
        </w:rPr>
        <w:t>Please note that the successful party will be expected to submit a full presentation (workshops/sessions quoted for) via Email for review no later Friday 2</w:t>
      </w:r>
      <w:r w:rsidR="003421B8">
        <w:rPr>
          <w:rFonts w:ascii="Arial" w:hAnsi="Arial" w:cs="Arial"/>
          <w:b/>
          <w:bCs/>
          <w:color w:val="000000"/>
        </w:rPr>
        <w:t>7</w:t>
      </w:r>
      <w:r w:rsidRPr="001D2A9E">
        <w:rPr>
          <w:rFonts w:ascii="Arial" w:hAnsi="Arial" w:cs="Arial"/>
          <w:b/>
          <w:bCs/>
          <w:color w:val="000000"/>
          <w:vertAlign w:val="superscript"/>
        </w:rPr>
        <w:t>th</w:t>
      </w:r>
      <w:r>
        <w:rPr>
          <w:rFonts w:ascii="Arial" w:hAnsi="Arial" w:cs="Arial"/>
          <w:b/>
          <w:bCs/>
          <w:color w:val="000000"/>
        </w:rPr>
        <w:t xml:space="preserve"> </w:t>
      </w:r>
      <w:r w:rsidR="003421B8">
        <w:rPr>
          <w:rFonts w:ascii="Arial" w:hAnsi="Arial" w:cs="Arial"/>
          <w:b/>
          <w:bCs/>
          <w:color w:val="000000"/>
        </w:rPr>
        <w:t>October 2017</w:t>
      </w:r>
      <w:r>
        <w:rPr>
          <w:rFonts w:ascii="Arial" w:hAnsi="Arial" w:cs="Arial"/>
          <w:b/>
          <w:bCs/>
          <w:color w:val="000000"/>
        </w:rPr>
        <w:t>.</w:t>
      </w:r>
    </w:p>
    <w:p w:rsidR="00645B83" w:rsidRDefault="00645B83" w:rsidP="00C71BBE">
      <w:pPr>
        <w:autoSpaceDE w:val="0"/>
        <w:autoSpaceDN w:val="0"/>
        <w:adjustRightInd w:val="0"/>
        <w:spacing w:after="0" w:line="360" w:lineRule="auto"/>
        <w:rPr>
          <w:rFonts w:ascii="Arial" w:hAnsi="Arial" w:cs="Arial"/>
          <w:b/>
          <w:bCs/>
          <w:color w:val="000000"/>
        </w:rPr>
      </w:pPr>
    </w:p>
    <w:p w:rsidR="00E61F33" w:rsidRPr="00DB47DC" w:rsidRDefault="00930F51" w:rsidP="00C71BBE">
      <w:pPr>
        <w:pBdr>
          <w:bottom w:val="single" w:sz="4" w:space="1" w:color="auto"/>
        </w:pBdr>
        <w:autoSpaceDE w:val="0"/>
        <w:autoSpaceDN w:val="0"/>
        <w:adjustRightInd w:val="0"/>
        <w:spacing w:after="0" w:line="360" w:lineRule="auto"/>
        <w:rPr>
          <w:rFonts w:ascii="Arial" w:hAnsi="Arial" w:cs="Arial"/>
          <w:b/>
          <w:bCs/>
          <w:color w:val="000000"/>
        </w:rPr>
      </w:pPr>
      <w:r>
        <w:rPr>
          <w:rFonts w:ascii="Arial" w:hAnsi="Arial" w:cs="Arial"/>
          <w:b/>
          <w:bCs/>
          <w:color w:val="000000"/>
        </w:rPr>
        <w:t>Contract Conditions</w:t>
      </w:r>
    </w:p>
    <w:p w:rsidR="00A46405" w:rsidRDefault="00E61F33" w:rsidP="00C71BBE">
      <w:pPr>
        <w:autoSpaceDE w:val="0"/>
        <w:autoSpaceDN w:val="0"/>
        <w:adjustRightInd w:val="0"/>
        <w:spacing w:after="0" w:line="360" w:lineRule="auto"/>
        <w:rPr>
          <w:rFonts w:ascii="Arial" w:hAnsi="Arial" w:cs="Arial"/>
          <w:color w:val="000000"/>
        </w:rPr>
      </w:pPr>
      <w:r w:rsidRPr="00325D8D">
        <w:rPr>
          <w:rFonts w:ascii="Arial" w:hAnsi="Arial" w:cs="Arial"/>
          <w:color w:val="000000"/>
        </w:rPr>
        <w:t xml:space="preserve">The </w:t>
      </w:r>
      <w:r w:rsidR="00FF2152" w:rsidRPr="00645B83">
        <w:rPr>
          <w:rFonts w:ascii="Arial" w:hAnsi="Arial" w:cs="Arial"/>
          <w:color w:val="000000"/>
        </w:rPr>
        <w:t>Contract/Framework A</w:t>
      </w:r>
      <w:r w:rsidR="0095272D" w:rsidRPr="00645B83">
        <w:rPr>
          <w:rFonts w:ascii="Arial" w:hAnsi="Arial" w:cs="Arial"/>
          <w:color w:val="000000"/>
        </w:rPr>
        <w:t>greement</w:t>
      </w:r>
      <w:r w:rsidR="0095272D">
        <w:rPr>
          <w:rFonts w:ascii="Arial" w:hAnsi="Arial" w:cs="Arial"/>
          <w:color w:val="000000"/>
        </w:rPr>
        <w:t xml:space="preserve"> and all tasks carried out under the agreement</w:t>
      </w:r>
      <w:r w:rsidRPr="00325D8D">
        <w:rPr>
          <w:rFonts w:ascii="Arial" w:hAnsi="Arial" w:cs="Arial"/>
          <w:color w:val="000000"/>
        </w:rPr>
        <w:t xml:space="preserve"> will be governed by </w:t>
      </w:r>
      <w:r w:rsidR="00FF2152">
        <w:rPr>
          <w:rFonts w:ascii="Arial" w:hAnsi="Arial" w:cs="Arial"/>
          <w:color w:val="000000"/>
        </w:rPr>
        <w:t>GM Business Support Limited</w:t>
      </w:r>
      <w:r w:rsidRPr="00872ACA">
        <w:rPr>
          <w:rFonts w:ascii="Arial" w:hAnsi="Arial" w:cs="Arial"/>
          <w:color w:val="000000"/>
        </w:rPr>
        <w:t xml:space="preserve"> </w:t>
      </w:r>
      <w:r w:rsidR="00147F1D">
        <w:rPr>
          <w:rFonts w:ascii="Arial" w:hAnsi="Arial" w:cs="Arial"/>
          <w:color w:val="000000"/>
        </w:rPr>
        <w:t>Contract Conditions</w:t>
      </w:r>
      <w:r w:rsidRPr="00872ACA">
        <w:rPr>
          <w:rFonts w:ascii="Arial" w:hAnsi="Arial" w:cs="Arial"/>
          <w:color w:val="000000"/>
        </w:rPr>
        <w:t>.</w:t>
      </w:r>
    </w:p>
    <w:p w:rsidR="00E148DF" w:rsidRDefault="00E148DF" w:rsidP="00C71BBE">
      <w:pPr>
        <w:autoSpaceDE w:val="0"/>
        <w:autoSpaceDN w:val="0"/>
        <w:adjustRightInd w:val="0"/>
        <w:spacing w:after="0" w:line="360" w:lineRule="auto"/>
        <w:rPr>
          <w:rFonts w:ascii="Arial" w:hAnsi="Arial" w:cs="Arial"/>
          <w:color w:val="000000"/>
        </w:rPr>
      </w:pPr>
    </w:p>
    <w:p w:rsidR="00E148DF" w:rsidRPr="004B0473" w:rsidRDefault="00E148DF" w:rsidP="00223CAE">
      <w:pPr>
        <w:autoSpaceDE w:val="0"/>
        <w:autoSpaceDN w:val="0"/>
        <w:adjustRightInd w:val="0"/>
        <w:spacing w:after="0" w:line="240" w:lineRule="auto"/>
        <w:rPr>
          <w:rFonts w:ascii="Arial" w:hAnsi="Arial" w:cs="Arial"/>
        </w:rPr>
      </w:pPr>
    </w:p>
    <w:sectPr w:rsidR="00E148DF" w:rsidRPr="004B0473" w:rsidSect="003D2A73">
      <w:headerReference w:type="even" r:id="rId14"/>
      <w:headerReference w:type="default" r:id="rId15"/>
      <w:footerReference w:type="even" r:id="rId16"/>
      <w:footerReference w:type="default" r:id="rId17"/>
      <w:headerReference w:type="first" r:id="rId18"/>
      <w:footerReference w:type="first" r:id="rId19"/>
      <w:pgSz w:w="11906" w:h="16838"/>
      <w:pgMar w:top="1702" w:right="1440" w:bottom="1440" w:left="1440" w:header="28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1F" w:rsidRDefault="0098791F" w:rsidP="007C66A9">
      <w:pPr>
        <w:spacing w:after="0" w:line="240" w:lineRule="auto"/>
      </w:pPr>
      <w:r>
        <w:separator/>
      </w:r>
    </w:p>
  </w:endnote>
  <w:endnote w:type="continuationSeparator" w:id="0">
    <w:p w:rsidR="0098791F" w:rsidRDefault="0098791F" w:rsidP="007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1A" w:rsidRDefault="00B3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927"/>
      <w:docPartObj>
        <w:docPartGallery w:val="Page Numbers (Bottom of Page)"/>
        <w:docPartUnique/>
      </w:docPartObj>
    </w:sdtPr>
    <w:sdtEndPr/>
    <w:sdtContent>
      <w:sdt>
        <w:sdtPr>
          <w:id w:val="250395305"/>
          <w:docPartObj>
            <w:docPartGallery w:val="Page Numbers (Top of Page)"/>
            <w:docPartUnique/>
          </w:docPartObj>
        </w:sdtPr>
        <w:sdtEndPr/>
        <w:sdtContent>
          <w:p w:rsidR="00FF2152" w:rsidRDefault="00B33F1A" w:rsidP="002A68A6">
            <w:pPr>
              <w:spacing w:after="0" w:line="240" w:lineRule="auto"/>
            </w:pPr>
            <w:r>
              <w:t>In</w:t>
            </w:r>
            <w:r w:rsidR="00947524">
              <w:t>vitation to Quote</w:t>
            </w:r>
            <w:r w:rsidR="00115560">
              <w:t xml:space="preserve"> Notes</w:t>
            </w:r>
            <w:r w:rsidR="00947524">
              <w:t>, Procurement M</w:t>
            </w:r>
            <w:r w:rsidR="00583709">
              <w:t>anager, Version 2</w:t>
            </w:r>
            <w:r>
              <w:t xml:space="preserve">, </w:t>
            </w:r>
            <w:r w:rsidR="00447BDA">
              <w:t>3</w:t>
            </w:r>
            <w:r w:rsidR="00447BDA" w:rsidRPr="00447BDA">
              <w:rPr>
                <w:vertAlign w:val="superscript"/>
              </w:rPr>
              <w:t>rd</w:t>
            </w:r>
            <w:r w:rsidR="00447BDA">
              <w:t xml:space="preserve"> March 2017</w:t>
            </w:r>
            <w:r w:rsidR="002A68A6" w:rsidRPr="002A68A6">
              <w:rPr>
                <w:sz w:val="18"/>
                <w:szCs w:val="18"/>
              </w:rPr>
              <w:tab/>
            </w:r>
            <w:r w:rsidR="002A68A6" w:rsidRPr="00B33F1A">
              <w:tab/>
            </w:r>
            <w:r w:rsidR="00FF2152" w:rsidRPr="00B33F1A">
              <w:t xml:space="preserve">Page </w:t>
            </w:r>
            <w:r w:rsidR="00FF2152" w:rsidRPr="00B33F1A">
              <w:fldChar w:fldCharType="begin"/>
            </w:r>
            <w:r w:rsidR="00FF2152" w:rsidRPr="00B33F1A">
              <w:instrText xml:space="preserve"> PAGE </w:instrText>
            </w:r>
            <w:r w:rsidR="00FF2152" w:rsidRPr="00B33F1A">
              <w:fldChar w:fldCharType="separate"/>
            </w:r>
            <w:r w:rsidR="00BD6CE0">
              <w:rPr>
                <w:noProof/>
              </w:rPr>
              <w:t>1</w:t>
            </w:r>
            <w:r w:rsidR="00FF2152" w:rsidRPr="00B33F1A">
              <w:fldChar w:fldCharType="end"/>
            </w:r>
            <w:r w:rsidR="00FF2152" w:rsidRPr="00B33F1A">
              <w:t xml:space="preserve"> of </w:t>
            </w:r>
            <w:r w:rsidR="0098791F">
              <w:fldChar w:fldCharType="begin"/>
            </w:r>
            <w:r w:rsidR="0098791F">
              <w:instrText xml:space="preserve"> NUMPAGES  </w:instrText>
            </w:r>
            <w:r w:rsidR="0098791F">
              <w:fldChar w:fldCharType="separate"/>
            </w:r>
            <w:r w:rsidR="00BD6CE0">
              <w:rPr>
                <w:noProof/>
              </w:rPr>
              <w:t>6</w:t>
            </w:r>
            <w:r w:rsidR="0098791F">
              <w:rPr>
                <w:noProof/>
              </w:rPr>
              <w:fldChar w:fldCharType="end"/>
            </w:r>
          </w:p>
          <w:p w:rsidR="00FF2152" w:rsidRDefault="0098791F">
            <w:pPr>
              <w:pStyle w:val="Foo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1A" w:rsidRDefault="00B3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1F" w:rsidRDefault="0098791F" w:rsidP="007C66A9">
      <w:pPr>
        <w:spacing w:after="0" w:line="240" w:lineRule="auto"/>
      </w:pPr>
      <w:r>
        <w:separator/>
      </w:r>
    </w:p>
  </w:footnote>
  <w:footnote w:type="continuationSeparator" w:id="0">
    <w:p w:rsidR="0098791F" w:rsidRDefault="0098791F" w:rsidP="007C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1A" w:rsidRDefault="00B3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52" w:rsidRDefault="00913D65" w:rsidP="00A30F3F">
    <w:pPr>
      <w:pStyle w:val="Header"/>
      <w:tabs>
        <w:tab w:val="clear" w:pos="4513"/>
        <w:tab w:val="clear" w:pos="9026"/>
      </w:tabs>
    </w:pPr>
    <w:r>
      <w:rPr>
        <w:noProof/>
      </w:rPr>
      <mc:AlternateContent>
        <mc:Choice Requires="wps">
          <w:drawing>
            <wp:anchor distT="0" distB="0" distL="114300" distR="114300" simplePos="0" relativeHeight="251660288" behindDoc="0" locked="0" layoutInCell="1" allowOverlap="1">
              <wp:simplePos x="0" y="0"/>
              <wp:positionH relativeFrom="column">
                <wp:posOffset>3629660</wp:posOffset>
              </wp:positionH>
              <wp:positionV relativeFrom="paragraph">
                <wp:posOffset>-222885</wp:posOffset>
              </wp:positionV>
              <wp:extent cx="2104390" cy="66675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52" w:rsidRDefault="00FF2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pt;margin-top:-17.55pt;width:165.7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fp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" stroked="f">
              <v:textbox>
                <w:txbxContent>
                  <w:p w:rsidR="00FF2152" w:rsidRDefault="00FF2152"/>
                </w:txbxContent>
              </v:textbox>
            </v:shape>
          </w:pict>
        </mc:Fallback>
      </mc:AlternateContent>
    </w:r>
    <w:r w:rsidR="00FF215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1A" w:rsidRDefault="00B3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EA1"/>
    <w:multiLevelType w:val="hybridMultilevel"/>
    <w:tmpl w:val="998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9146A"/>
    <w:multiLevelType w:val="hybridMultilevel"/>
    <w:tmpl w:val="A8625F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F519D7"/>
    <w:multiLevelType w:val="hybridMultilevel"/>
    <w:tmpl w:val="090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660B8"/>
    <w:multiLevelType w:val="hybridMultilevel"/>
    <w:tmpl w:val="8598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3594"/>
    <w:multiLevelType w:val="hybridMultilevel"/>
    <w:tmpl w:val="1B22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81BD9"/>
    <w:multiLevelType w:val="hybridMultilevel"/>
    <w:tmpl w:val="1816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20760C9E"/>
    <w:multiLevelType w:val="multilevel"/>
    <w:tmpl w:val="9D20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52C6D"/>
    <w:multiLevelType w:val="hybridMultilevel"/>
    <w:tmpl w:val="546A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70BC7"/>
    <w:multiLevelType w:val="hybridMultilevel"/>
    <w:tmpl w:val="4566A88A"/>
    <w:lvl w:ilvl="0" w:tplc="28162CD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7E7016"/>
    <w:multiLevelType w:val="hybridMultilevel"/>
    <w:tmpl w:val="7BF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3">
    <w:nsid w:val="56A7076B"/>
    <w:multiLevelType w:val="hybridMultilevel"/>
    <w:tmpl w:val="7836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46054"/>
    <w:multiLevelType w:val="hybridMultilevel"/>
    <w:tmpl w:val="991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810731"/>
    <w:multiLevelType w:val="hybridMultilevel"/>
    <w:tmpl w:val="4A5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C96753B"/>
    <w:multiLevelType w:val="hybridMultilevel"/>
    <w:tmpl w:val="C4428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522024"/>
    <w:multiLevelType w:val="multilevel"/>
    <w:tmpl w:val="795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F3F20"/>
    <w:multiLevelType w:val="hybridMultilevel"/>
    <w:tmpl w:val="DD02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1"/>
  </w:num>
  <w:num w:numId="8">
    <w:abstractNumId w:val="8"/>
  </w:num>
  <w:num w:numId="9">
    <w:abstractNumId w:val="4"/>
  </w:num>
  <w:num w:numId="10">
    <w:abstractNumId w:val="3"/>
  </w:num>
  <w:num w:numId="11">
    <w:abstractNumId w:val="16"/>
  </w:num>
  <w:num w:numId="12">
    <w:abstractNumId w:val="15"/>
  </w:num>
  <w:num w:numId="13">
    <w:abstractNumId w:val="12"/>
  </w:num>
  <w:num w:numId="14">
    <w:abstractNumId w:val="17"/>
  </w:num>
  <w:num w:numId="15">
    <w:abstractNumId w:val="0"/>
  </w:num>
  <w:num w:numId="16">
    <w:abstractNumId w:val="1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05"/>
    <w:rsid w:val="0000186C"/>
    <w:rsid w:val="0002222C"/>
    <w:rsid w:val="000330ED"/>
    <w:rsid w:val="00036249"/>
    <w:rsid w:val="000634A4"/>
    <w:rsid w:val="0007323F"/>
    <w:rsid w:val="0008078C"/>
    <w:rsid w:val="000857A3"/>
    <w:rsid w:val="0009173E"/>
    <w:rsid w:val="000B368B"/>
    <w:rsid w:val="000E3747"/>
    <w:rsid w:val="00110C7F"/>
    <w:rsid w:val="00115560"/>
    <w:rsid w:val="00145977"/>
    <w:rsid w:val="00147F1D"/>
    <w:rsid w:val="00160F4C"/>
    <w:rsid w:val="00176488"/>
    <w:rsid w:val="00182C1B"/>
    <w:rsid w:val="0018454D"/>
    <w:rsid w:val="001942E3"/>
    <w:rsid w:val="001A0E8E"/>
    <w:rsid w:val="001B1201"/>
    <w:rsid w:val="001B4E2A"/>
    <w:rsid w:val="001C6FEC"/>
    <w:rsid w:val="001D1596"/>
    <w:rsid w:val="001E143B"/>
    <w:rsid w:val="001F33B6"/>
    <w:rsid w:val="00216262"/>
    <w:rsid w:val="00216E63"/>
    <w:rsid w:val="00223CAE"/>
    <w:rsid w:val="00226E21"/>
    <w:rsid w:val="002375BB"/>
    <w:rsid w:val="0024408B"/>
    <w:rsid w:val="00245F31"/>
    <w:rsid w:val="002512EF"/>
    <w:rsid w:val="0028110C"/>
    <w:rsid w:val="002A68A6"/>
    <w:rsid w:val="002B6547"/>
    <w:rsid w:val="002D0868"/>
    <w:rsid w:val="002E0F4E"/>
    <w:rsid w:val="002F51C2"/>
    <w:rsid w:val="00306DC1"/>
    <w:rsid w:val="00325D8D"/>
    <w:rsid w:val="00337CA1"/>
    <w:rsid w:val="003421B8"/>
    <w:rsid w:val="00373868"/>
    <w:rsid w:val="00386E89"/>
    <w:rsid w:val="00394BEE"/>
    <w:rsid w:val="003A53F1"/>
    <w:rsid w:val="003C1B51"/>
    <w:rsid w:val="003D2A73"/>
    <w:rsid w:val="003D3E3C"/>
    <w:rsid w:val="003E0481"/>
    <w:rsid w:val="003E665C"/>
    <w:rsid w:val="00430495"/>
    <w:rsid w:val="00447BDA"/>
    <w:rsid w:val="00451DFC"/>
    <w:rsid w:val="004622AE"/>
    <w:rsid w:val="0047229C"/>
    <w:rsid w:val="004728ED"/>
    <w:rsid w:val="00476B24"/>
    <w:rsid w:val="0048112C"/>
    <w:rsid w:val="00485C2F"/>
    <w:rsid w:val="004B0473"/>
    <w:rsid w:val="004B07C7"/>
    <w:rsid w:val="004D39FC"/>
    <w:rsid w:val="004F2E17"/>
    <w:rsid w:val="004F6F23"/>
    <w:rsid w:val="005270C9"/>
    <w:rsid w:val="005323B5"/>
    <w:rsid w:val="00573836"/>
    <w:rsid w:val="0057753B"/>
    <w:rsid w:val="00583709"/>
    <w:rsid w:val="005837D8"/>
    <w:rsid w:val="00586DD1"/>
    <w:rsid w:val="005D6804"/>
    <w:rsid w:val="005E4431"/>
    <w:rsid w:val="005E5107"/>
    <w:rsid w:val="0062163C"/>
    <w:rsid w:val="00623591"/>
    <w:rsid w:val="006345CA"/>
    <w:rsid w:val="00645B83"/>
    <w:rsid w:val="006B0309"/>
    <w:rsid w:val="006C004A"/>
    <w:rsid w:val="006C21DB"/>
    <w:rsid w:val="006C581C"/>
    <w:rsid w:val="006F432E"/>
    <w:rsid w:val="0074009C"/>
    <w:rsid w:val="00751050"/>
    <w:rsid w:val="007851FA"/>
    <w:rsid w:val="007A4F07"/>
    <w:rsid w:val="007C66A9"/>
    <w:rsid w:val="007E29DC"/>
    <w:rsid w:val="007F47FC"/>
    <w:rsid w:val="00802844"/>
    <w:rsid w:val="008141A7"/>
    <w:rsid w:val="00817710"/>
    <w:rsid w:val="00824B00"/>
    <w:rsid w:val="00837193"/>
    <w:rsid w:val="00844786"/>
    <w:rsid w:val="00872ACA"/>
    <w:rsid w:val="008745EE"/>
    <w:rsid w:val="0088103A"/>
    <w:rsid w:val="00885BA7"/>
    <w:rsid w:val="008B5912"/>
    <w:rsid w:val="008C1334"/>
    <w:rsid w:val="008C66CC"/>
    <w:rsid w:val="008F4B9D"/>
    <w:rsid w:val="00901E0E"/>
    <w:rsid w:val="00913D65"/>
    <w:rsid w:val="009205B5"/>
    <w:rsid w:val="00930F51"/>
    <w:rsid w:val="0094057A"/>
    <w:rsid w:val="00941E26"/>
    <w:rsid w:val="00946B46"/>
    <w:rsid w:val="00947524"/>
    <w:rsid w:val="0095272D"/>
    <w:rsid w:val="009763EE"/>
    <w:rsid w:val="0098791F"/>
    <w:rsid w:val="00987A46"/>
    <w:rsid w:val="009A3DC3"/>
    <w:rsid w:val="009B2DFB"/>
    <w:rsid w:val="009B42D7"/>
    <w:rsid w:val="009B7C09"/>
    <w:rsid w:val="009C5A8B"/>
    <w:rsid w:val="009D704E"/>
    <w:rsid w:val="00A02CE6"/>
    <w:rsid w:val="00A177A1"/>
    <w:rsid w:val="00A30F3F"/>
    <w:rsid w:val="00A46405"/>
    <w:rsid w:val="00A47A96"/>
    <w:rsid w:val="00A662A7"/>
    <w:rsid w:val="00A71C84"/>
    <w:rsid w:val="00A73D90"/>
    <w:rsid w:val="00A812FF"/>
    <w:rsid w:val="00A836E6"/>
    <w:rsid w:val="00AA006A"/>
    <w:rsid w:val="00AC70D5"/>
    <w:rsid w:val="00AD5671"/>
    <w:rsid w:val="00AE3B78"/>
    <w:rsid w:val="00B01C44"/>
    <w:rsid w:val="00B06AF3"/>
    <w:rsid w:val="00B31B73"/>
    <w:rsid w:val="00B33F1A"/>
    <w:rsid w:val="00B46814"/>
    <w:rsid w:val="00B47C58"/>
    <w:rsid w:val="00B5123C"/>
    <w:rsid w:val="00B62CAE"/>
    <w:rsid w:val="00B86FD2"/>
    <w:rsid w:val="00B91188"/>
    <w:rsid w:val="00BA68D9"/>
    <w:rsid w:val="00BB562F"/>
    <w:rsid w:val="00BD6CE0"/>
    <w:rsid w:val="00BE310A"/>
    <w:rsid w:val="00BE4367"/>
    <w:rsid w:val="00C13040"/>
    <w:rsid w:val="00C135B5"/>
    <w:rsid w:val="00C44F46"/>
    <w:rsid w:val="00C540C9"/>
    <w:rsid w:val="00C676A8"/>
    <w:rsid w:val="00C71BBE"/>
    <w:rsid w:val="00C72B4E"/>
    <w:rsid w:val="00C741B4"/>
    <w:rsid w:val="00C812C3"/>
    <w:rsid w:val="00C86DCC"/>
    <w:rsid w:val="00C96D59"/>
    <w:rsid w:val="00CA4C6C"/>
    <w:rsid w:val="00CC59D2"/>
    <w:rsid w:val="00CE1B20"/>
    <w:rsid w:val="00CE1C4D"/>
    <w:rsid w:val="00CE385B"/>
    <w:rsid w:val="00CE6366"/>
    <w:rsid w:val="00CE74DF"/>
    <w:rsid w:val="00CF3B35"/>
    <w:rsid w:val="00D138AD"/>
    <w:rsid w:val="00D26AFB"/>
    <w:rsid w:val="00D33CC4"/>
    <w:rsid w:val="00D3794A"/>
    <w:rsid w:val="00D474D7"/>
    <w:rsid w:val="00D62AC3"/>
    <w:rsid w:val="00DB30D3"/>
    <w:rsid w:val="00DB47DC"/>
    <w:rsid w:val="00DB7854"/>
    <w:rsid w:val="00DD3E2B"/>
    <w:rsid w:val="00E148DF"/>
    <w:rsid w:val="00E15952"/>
    <w:rsid w:val="00E16BBA"/>
    <w:rsid w:val="00E24A78"/>
    <w:rsid w:val="00E45E16"/>
    <w:rsid w:val="00E61F33"/>
    <w:rsid w:val="00E64302"/>
    <w:rsid w:val="00E872CF"/>
    <w:rsid w:val="00E929BC"/>
    <w:rsid w:val="00EA4C5E"/>
    <w:rsid w:val="00EA7466"/>
    <w:rsid w:val="00ED31E7"/>
    <w:rsid w:val="00F00F99"/>
    <w:rsid w:val="00F02DC3"/>
    <w:rsid w:val="00F224D4"/>
    <w:rsid w:val="00F26B90"/>
    <w:rsid w:val="00F27DF1"/>
    <w:rsid w:val="00F36EEC"/>
    <w:rsid w:val="00F466F9"/>
    <w:rsid w:val="00F4674D"/>
    <w:rsid w:val="00F94B96"/>
    <w:rsid w:val="00FF11DF"/>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674D"/>
    <w:rPr>
      <w:strike w:val="0"/>
      <w:dstrike w:val="0"/>
      <w:color w:val="399900"/>
      <w:u w:val="none"/>
      <w:effect w:val="none"/>
    </w:rPr>
  </w:style>
  <w:style w:type="paragraph" w:styleId="ListParagraph">
    <w:name w:val="List Paragraph"/>
    <w:basedOn w:val="Normal"/>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674D"/>
    <w:rPr>
      <w:strike w:val="0"/>
      <w:dstrike w:val="0"/>
      <w:color w:val="399900"/>
      <w:u w:val="none"/>
      <w:effect w:val="none"/>
    </w:rPr>
  </w:style>
  <w:style w:type="paragraph" w:styleId="ListParagraph">
    <w:name w:val="List Paragraph"/>
    <w:basedOn w:val="Normal"/>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019">
      <w:bodyDiv w:val="1"/>
      <w:marLeft w:val="0"/>
      <w:marRight w:val="0"/>
      <w:marTop w:val="0"/>
      <w:marBottom w:val="0"/>
      <w:divBdr>
        <w:top w:val="none" w:sz="0" w:space="0" w:color="auto"/>
        <w:left w:val="none" w:sz="0" w:space="0" w:color="auto"/>
        <w:bottom w:val="none" w:sz="0" w:space="0" w:color="auto"/>
        <w:right w:val="none" w:sz="0" w:space="0" w:color="auto"/>
      </w:divBdr>
    </w:div>
    <w:div w:id="273942768">
      <w:bodyDiv w:val="1"/>
      <w:marLeft w:val="0"/>
      <w:marRight w:val="0"/>
      <w:marTop w:val="0"/>
      <w:marBottom w:val="0"/>
      <w:divBdr>
        <w:top w:val="none" w:sz="0" w:space="0" w:color="auto"/>
        <w:left w:val="none" w:sz="0" w:space="0" w:color="auto"/>
        <w:bottom w:val="none" w:sz="0" w:space="0" w:color="auto"/>
        <w:right w:val="none" w:sz="0" w:space="0" w:color="auto"/>
      </w:divBdr>
      <w:divsChild>
        <w:div w:id="422918739">
          <w:marLeft w:val="0"/>
          <w:marRight w:val="0"/>
          <w:marTop w:val="0"/>
          <w:marBottom w:val="0"/>
          <w:divBdr>
            <w:top w:val="none" w:sz="0" w:space="0" w:color="auto"/>
            <w:left w:val="none" w:sz="0" w:space="0" w:color="auto"/>
            <w:bottom w:val="none" w:sz="0" w:space="0" w:color="auto"/>
            <w:right w:val="none" w:sz="0" w:space="0" w:color="auto"/>
          </w:divBdr>
          <w:divsChild>
            <w:div w:id="1564949762">
              <w:marLeft w:val="0"/>
              <w:marRight w:val="0"/>
              <w:marTop w:val="0"/>
              <w:marBottom w:val="0"/>
              <w:divBdr>
                <w:top w:val="none" w:sz="0" w:space="0" w:color="auto"/>
                <w:left w:val="none" w:sz="0" w:space="0" w:color="auto"/>
                <w:bottom w:val="none" w:sz="0" w:space="0" w:color="auto"/>
                <w:right w:val="none" w:sz="0" w:space="0" w:color="auto"/>
              </w:divBdr>
              <w:divsChild>
                <w:div w:id="2003239598">
                  <w:marLeft w:val="0"/>
                  <w:marRight w:val="0"/>
                  <w:marTop w:val="0"/>
                  <w:marBottom w:val="0"/>
                  <w:divBdr>
                    <w:top w:val="none" w:sz="0" w:space="0" w:color="auto"/>
                    <w:left w:val="none" w:sz="0" w:space="0" w:color="auto"/>
                    <w:bottom w:val="none" w:sz="0" w:space="0" w:color="auto"/>
                    <w:right w:val="none" w:sz="0" w:space="0" w:color="auto"/>
                  </w:divBdr>
                  <w:divsChild>
                    <w:div w:id="1931305517">
                      <w:marLeft w:val="0"/>
                      <w:marRight w:val="0"/>
                      <w:marTop w:val="0"/>
                      <w:marBottom w:val="0"/>
                      <w:divBdr>
                        <w:top w:val="none" w:sz="0" w:space="0" w:color="auto"/>
                        <w:left w:val="none" w:sz="0" w:space="0" w:color="auto"/>
                        <w:bottom w:val="none" w:sz="0" w:space="0" w:color="auto"/>
                        <w:right w:val="none" w:sz="0" w:space="0" w:color="auto"/>
                      </w:divBdr>
                      <w:divsChild>
                        <w:div w:id="1153372384">
                          <w:marLeft w:val="0"/>
                          <w:marRight w:val="0"/>
                          <w:marTop w:val="0"/>
                          <w:marBottom w:val="0"/>
                          <w:divBdr>
                            <w:top w:val="none" w:sz="0" w:space="0" w:color="auto"/>
                            <w:left w:val="none" w:sz="0" w:space="0" w:color="auto"/>
                            <w:bottom w:val="none" w:sz="0" w:space="0" w:color="auto"/>
                            <w:right w:val="none" w:sz="0" w:space="0" w:color="auto"/>
                          </w:divBdr>
                          <w:divsChild>
                            <w:div w:id="2013338531">
                              <w:marLeft w:val="0"/>
                              <w:marRight w:val="0"/>
                              <w:marTop w:val="0"/>
                              <w:marBottom w:val="0"/>
                              <w:divBdr>
                                <w:top w:val="none" w:sz="0" w:space="0" w:color="auto"/>
                                <w:left w:val="none" w:sz="0" w:space="0" w:color="auto"/>
                                <w:bottom w:val="none" w:sz="0" w:space="0" w:color="auto"/>
                                <w:right w:val="none" w:sz="0" w:space="0" w:color="auto"/>
                              </w:divBdr>
                              <w:divsChild>
                                <w:div w:id="1075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2067">
      <w:bodyDiv w:val="1"/>
      <w:marLeft w:val="0"/>
      <w:marRight w:val="0"/>
      <w:marTop w:val="0"/>
      <w:marBottom w:val="0"/>
      <w:divBdr>
        <w:top w:val="none" w:sz="0" w:space="0" w:color="auto"/>
        <w:left w:val="none" w:sz="0" w:space="0" w:color="auto"/>
        <w:bottom w:val="none" w:sz="0" w:space="0" w:color="auto"/>
        <w:right w:val="none" w:sz="0" w:space="0" w:color="auto"/>
      </w:divBdr>
      <w:divsChild>
        <w:div w:id="356391611">
          <w:marLeft w:val="0"/>
          <w:marRight w:val="0"/>
          <w:marTop w:val="0"/>
          <w:marBottom w:val="0"/>
          <w:divBdr>
            <w:top w:val="none" w:sz="0" w:space="0" w:color="auto"/>
            <w:left w:val="none" w:sz="0" w:space="0" w:color="auto"/>
            <w:bottom w:val="none" w:sz="0" w:space="0" w:color="auto"/>
            <w:right w:val="none" w:sz="0" w:space="0" w:color="auto"/>
          </w:divBdr>
          <w:divsChild>
            <w:div w:id="1482887266">
              <w:marLeft w:val="0"/>
              <w:marRight w:val="0"/>
              <w:marTop w:val="0"/>
              <w:marBottom w:val="300"/>
              <w:divBdr>
                <w:top w:val="none" w:sz="0" w:space="0" w:color="auto"/>
                <w:left w:val="none" w:sz="0" w:space="0" w:color="auto"/>
                <w:bottom w:val="none" w:sz="0" w:space="0" w:color="auto"/>
                <w:right w:val="none" w:sz="0" w:space="0" w:color="auto"/>
              </w:divBdr>
              <w:divsChild>
                <w:div w:id="1608612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55708531">
      <w:bodyDiv w:val="1"/>
      <w:marLeft w:val="0"/>
      <w:marRight w:val="0"/>
      <w:marTop w:val="0"/>
      <w:marBottom w:val="0"/>
      <w:divBdr>
        <w:top w:val="none" w:sz="0" w:space="0" w:color="auto"/>
        <w:left w:val="none" w:sz="0" w:space="0" w:color="auto"/>
        <w:bottom w:val="none" w:sz="0" w:space="0" w:color="auto"/>
        <w:right w:val="none" w:sz="0" w:space="0" w:color="auto"/>
      </w:divBdr>
      <w:divsChild>
        <w:div w:id="2031642989">
          <w:marLeft w:val="0"/>
          <w:marRight w:val="0"/>
          <w:marTop w:val="0"/>
          <w:marBottom w:val="0"/>
          <w:divBdr>
            <w:top w:val="none" w:sz="0" w:space="0" w:color="auto"/>
            <w:left w:val="none" w:sz="0" w:space="0" w:color="auto"/>
            <w:bottom w:val="none" w:sz="0" w:space="0" w:color="auto"/>
            <w:right w:val="none" w:sz="0" w:space="0" w:color="auto"/>
          </w:divBdr>
          <w:divsChild>
            <w:div w:id="328944668">
              <w:marLeft w:val="0"/>
              <w:marRight w:val="0"/>
              <w:marTop w:val="0"/>
              <w:marBottom w:val="300"/>
              <w:divBdr>
                <w:top w:val="none" w:sz="0" w:space="0" w:color="auto"/>
                <w:left w:val="none" w:sz="0" w:space="0" w:color="auto"/>
                <w:bottom w:val="none" w:sz="0" w:space="0" w:color="auto"/>
                <w:right w:val="none" w:sz="0" w:space="0" w:color="auto"/>
              </w:divBdr>
              <w:divsChild>
                <w:div w:id="871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5364">
      <w:bodyDiv w:val="1"/>
      <w:marLeft w:val="0"/>
      <w:marRight w:val="0"/>
      <w:marTop w:val="0"/>
      <w:marBottom w:val="0"/>
      <w:divBdr>
        <w:top w:val="none" w:sz="0" w:space="0" w:color="auto"/>
        <w:left w:val="none" w:sz="0" w:space="0" w:color="auto"/>
        <w:bottom w:val="none" w:sz="0" w:space="0" w:color="auto"/>
        <w:right w:val="none" w:sz="0" w:space="0" w:color="auto"/>
      </w:divBdr>
      <w:divsChild>
        <w:div w:id="1524517902">
          <w:marLeft w:val="0"/>
          <w:marRight w:val="0"/>
          <w:marTop w:val="0"/>
          <w:marBottom w:val="0"/>
          <w:divBdr>
            <w:top w:val="none" w:sz="0" w:space="0" w:color="auto"/>
            <w:left w:val="none" w:sz="0" w:space="0" w:color="auto"/>
            <w:bottom w:val="none" w:sz="0" w:space="0" w:color="auto"/>
            <w:right w:val="none" w:sz="0" w:space="0" w:color="auto"/>
          </w:divBdr>
          <w:divsChild>
            <w:div w:id="544175672">
              <w:marLeft w:val="0"/>
              <w:marRight w:val="0"/>
              <w:marTop w:val="0"/>
              <w:marBottom w:val="0"/>
              <w:divBdr>
                <w:top w:val="none" w:sz="0" w:space="0" w:color="auto"/>
                <w:left w:val="none" w:sz="0" w:space="0" w:color="auto"/>
                <w:bottom w:val="none" w:sz="0" w:space="0" w:color="auto"/>
                <w:right w:val="none" w:sz="0" w:space="0" w:color="auto"/>
              </w:divBdr>
              <w:divsChild>
                <w:div w:id="1825661132">
                  <w:marLeft w:val="0"/>
                  <w:marRight w:val="0"/>
                  <w:marTop w:val="0"/>
                  <w:marBottom w:val="0"/>
                  <w:divBdr>
                    <w:top w:val="none" w:sz="0" w:space="0" w:color="auto"/>
                    <w:left w:val="none" w:sz="0" w:space="0" w:color="auto"/>
                    <w:bottom w:val="none" w:sz="0" w:space="0" w:color="auto"/>
                    <w:right w:val="none" w:sz="0" w:space="0" w:color="auto"/>
                  </w:divBdr>
                  <w:divsChild>
                    <w:div w:id="1200362070">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1280600732">
                              <w:marLeft w:val="0"/>
                              <w:marRight w:val="0"/>
                              <w:marTop w:val="0"/>
                              <w:marBottom w:val="0"/>
                              <w:divBdr>
                                <w:top w:val="none" w:sz="0" w:space="0" w:color="auto"/>
                                <w:left w:val="none" w:sz="0" w:space="0" w:color="auto"/>
                                <w:bottom w:val="none" w:sz="0" w:space="0" w:color="auto"/>
                                <w:right w:val="none" w:sz="0" w:space="0" w:color="auto"/>
                              </w:divBdr>
                              <w:divsChild>
                                <w:div w:id="1067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6860">
      <w:bodyDiv w:val="1"/>
      <w:marLeft w:val="0"/>
      <w:marRight w:val="0"/>
      <w:marTop w:val="0"/>
      <w:marBottom w:val="0"/>
      <w:divBdr>
        <w:top w:val="none" w:sz="0" w:space="0" w:color="auto"/>
        <w:left w:val="none" w:sz="0" w:space="0" w:color="auto"/>
        <w:bottom w:val="none" w:sz="0" w:space="0" w:color="auto"/>
        <w:right w:val="none" w:sz="0" w:space="0" w:color="auto"/>
      </w:divBdr>
      <w:divsChild>
        <w:div w:id="413012595">
          <w:marLeft w:val="0"/>
          <w:marRight w:val="0"/>
          <w:marTop w:val="0"/>
          <w:marBottom w:val="0"/>
          <w:divBdr>
            <w:top w:val="none" w:sz="0" w:space="0" w:color="auto"/>
            <w:left w:val="none" w:sz="0" w:space="0" w:color="auto"/>
            <w:bottom w:val="none" w:sz="0" w:space="0" w:color="auto"/>
            <w:right w:val="none" w:sz="0" w:space="0" w:color="auto"/>
          </w:divBdr>
          <w:divsChild>
            <w:div w:id="2109152532">
              <w:marLeft w:val="0"/>
              <w:marRight w:val="0"/>
              <w:marTop w:val="0"/>
              <w:marBottom w:val="0"/>
              <w:divBdr>
                <w:top w:val="none" w:sz="0" w:space="0" w:color="auto"/>
                <w:left w:val="none" w:sz="0" w:space="0" w:color="auto"/>
                <w:bottom w:val="none" w:sz="0" w:space="0" w:color="auto"/>
                <w:right w:val="none" w:sz="0" w:space="0" w:color="auto"/>
              </w:divBdr>
              <w:divsChild>
                <w:div w:id="1008943382">
                  <w:marLeft w:val="0"/>
                  <w:marRight w:val="0"/>
                  <w:marTop w:val="0"/>
                  <w:marBottom w:val="0"/>
                  <w:divBdr>
                    <w:top w:val="none" w:sz="0" w:space="0" w:color="auto"/>
                    <w:left w:val="none" w:sz="0" w:space="0" w:color="auto"/>
                    <w:bottom w:val="none" w:sz="0" w:space="0" w:color="auto"/>
                    <w:right w:val="none" w:sz="0" w:space="0" w:color="auto"/>
                  </w:divBdr>
                  <w:divsChild>
                    <w:div w:id="1440833644">
                      <w:marLeft w:val="0"/>
                      <w:marRight w:val="0"/>
                      <w:marTop w:val="0"/>
                      <w:marBottom w:val="0"/>
                      <w:divBdr>
                        <w:top w:val="none" w:sz="0" w:space="0" w:color="auto"/>
                        <w:left w:val="none" w:sz="0" w:space="0" w:color="auto"/>
                        <w:bottom w:val="none" w:sz="0" w:space="0" w:color="auto"/>
                        <w:right w:val="none" w:sz="0" w:space="0" w:color="auto"/>
                      </w:divBdr>
                      <w:divsChild>
                        <w:div w:id="3367661">
                          <w:marLeft w:val="0"/>
                          <w:marRight w:val="0"/>
                          <w:marTop w:val="0"/>
                          <w:marBottom w:val="0"/>
                          <w:divBdr>
                            <w:top w:val="none" w:sz="0" w:space="0" w:color="auto"/>
                            <w:left w:val="none" w:sz="0" w:space="0" w:color="auto"/>
                            <w:bottom w:val="none" w:sz="0" w:space="0" w:color="auto"/>
                            <w:right w:val="none" w:sz="0" w:space="0" w:color="auto"/>
                          </w:divBdr>
                          <w:divsChild>
                            <w:div w:id="256403099">
                              <w:marLeft w:val="0"/>
                              <w:marRight w:val="0"/>
                              <w:marTop w:val="0"/>
                              <w:marBottom w:val="0"/>
                              <w:divBdr>
                                <w:top w:val="none" w:sz="0" w:space="0" w:color="auto"/>
                                <w:left w:val="none" w:sz="0" w:space="0" w:color="auto"/>
                                <w:bottom w:val="none" w:sz="0" w:space="0" w:color="auto"/>
                                <w:right w:val="none" w:sz="0" w:space="0" w:color="auto"/>
                              </w:divBdr>
                              <w:divsChild>
                                <w:div w:id="1894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60993">
      <w:bodyDiv w:val="1"/>
      <w:marLeft w:val="0"/>
      <w:marRight w:val="0"/>
      <w:marTop w:val="0"/>
      <w:marBottom w:val="0"/>
      <w:divBdr>
        <w:top w:val="none" w:sz="0" w:space="0" w:color="auto"/>
        <w:left w:val="none" w:sz="0" w:space="0" w:color="auto"/>
        <w:bottom w:val="none" w:sz="0" w:space="0" w:color="auto"/>
        <w:right w:val="none" w:sz="0" w:space="0" w:color="auto"/>
      </w:divBdr>
      <w:divsChild>
        <w:div w:id="483858710">
          <w:marLeft w:val="0"/>
          <w:marRight w:val="0"/>
          <w:marTop w:val="0"/>
          <w:marBottom w:val="0"/>
          <w:divBdr>
            <w:top w:val="none" w:sz="0" w:space="0" w:color="auto"/>
            <w:left w:val="none" w:sz="0" w:space="0" w:color="auto"/>
            <w:bottom w:val="none" w:sz="0" w:space="0" w:color="auto"/>
            <w:right w:val="none" w:sz="0" w:space="0" w:color="auto"/>
          </w:divBdr>
          <w:divsChild>
            <w:div w:id="674186616">
              <w:marLeft w:val="0"/>
              <w:marRight w:val="300"/>
              <w:marTop w:val="0"/>
              <w:marBottom w:val="0"/>
              <w:divBdr>
                <w:top w:val="none" w:sz="0" w:space="0" w:color="auto"/>
                <w:left w:val="none" w:sz="0" w:space="0" w:color="auto"/>
                <w:bottom w:val="none" w:sz="0" w:space="0" w:color="auto"/>
                <w:right w:val="none" w:sz="0" w:space="0" w:color="auto"/>
              </w:divBdr>
              <w:divsChild>
                <w:div w:id="208641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1415154">
      <w:bodyDiv w:val="1"/>
      <w:marLeft w:val="0"/>
      <w:marRight w:val="0"/>
      <w:marTop w:val="0"/>
      <w:marBottom w:val="0"/>
      <w:divBdr>
        <w:top w:val="none" w:sz="0" w:space="0" w:color="auto"/>
        <w:left w:val="none" w:sz="0" w:space="0" w:color="auto"/>
        <w:bottom w:val="none" w:sz="0" w:space="0" w:color="auto"/>
        <w:right w:val="none" w:sz="0" w:space="0" w:color="auto"/>
      </w:divBdr>
      <w:divsChild>
        <w:div w:id="262955775">
          <w:marLeft w:val="0"/>
          <w:marRight w:val="0"/>
          <w:marTop w:val="0"/>
          <w:marBottom w:val="0"/>
          <w:divBdr>
            <w:top w:val="none" w:sz="0" w:space="0" w:color="auto"/>
            <w:left w:val="none" w:sz="0" w:space="0" w:color="auto"/>
            <w:bottom w:val="none" w:sz="0" w:space="0" w:color="auto"/>
            <w:right w:val="none" w:sz="0" w:space="0" w:color="auto"/>
          </w:divBdr>
          <w:divsChild>
            <w:div w:id="1028874457">
              <w:marLeft w:val="0"/>
              <w:marRight w:val="0"/>
              <w:marTop w:val="0"/>
              <w:marBottom w:val="0"/>
              <w:divBdr>
                <w:top w:val="none" w:sz="0" w:space="0" w:color="auto"/>
                <w:left w:val="none" w:sz="0" w:space="0" w:color="auto"/>
                <w:bottom w:val="none" w:sz="0" w:space="0" w:color="auto"/>
                <w:right w:val="none" w:sz="0" w:space="0" w:color="auto"/>
              </w:divBdr>
              <w:divsChild>
                <w:div w:id="1110397856">
                  <w:marLeft w:val="0"/>
                  <w:marRight w:val="0"/>
                  <w:marTop w:val="0"/>
                  <w:marBottom w:val="0"/>
                  <w:divBdr>
                    <w:top w:val="none" w:sz="0" w:space="0" w:color="auto"/>
                    <w:left w:val="none" w:sz="0" w:space="0" w:color="auto"/>
                    <w:bottom w:val="none" w:sz="0" w:space="0" w:color="auto"/>
                    <w:right w:val="none" w:sz="0" w:space="0" w:color="auto"/>
                  </w:divBdr>
                  <w:divsChild>
                    <w:div w:id="593827016">
                      <w:marLeft w:val="0"/>
                      <w:marRight w:val="0"/>
                      <w:marTop w:val="0"/>
                      <w:marBottom w:val="0"/>
                      <w:divBdr>
                        <w:top w:val="none" w:sz="0" w:space="0" w:color="auto"/>
                        <w:left w:val="none" w:sz="0" w:space="0" w:color="auto"/>
                        <w:bottom w:val="none" w:sz="0" w:space="0" w:color="auto"/>
                        <w:right w:val="none" w:sz="0" w:space="0" w:color="auto"/>
                      </w:divBdr>
                      <w:divsChild>
                        <w:div w:id="1704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lary.centeleghe@businessgrowthhub.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ilary.centeleghe@businessgrowthhub.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dfn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AE5F-50A8-4EFC-9C55-D85395A0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D6B7E1E8</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Enterprises</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enwmta</dc:creator>
  <cp:lastModifiedBy>Evans, Ieuan (Business Growth Hub)</cp:lastModifiedBy>
  <cp:revision>2</cp:revision>
  <cp:lastPrinted>2013-02-04T12:00:00Z</cp:lastPrinted>
  <dcterms:created xsi:type="dcterms:W3CDTF">2017-07-05T08:58:00Z</dcterms:created>
  <dcterms:modified xsi:type="dcterms:W3CDTF">2017-07-05T08:58:00Z</dcterms:modified>
</cp:coreProperties>
</file>